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b/>
          <w:sz w:val="44"/>
          <w:szCs w:val="44"/>
          <w:lang w:eastAsia="zh-CN"/>
        </w:rPr>
      </w:pPr>
      <w:r>
        <w:rPr>
          <w:rFonts w:hint="eastAsia"/>
          <w:b/>
          <w:sz w:val="44"/>
          <w:szCs w:val="44"/>
          <w:lang w:eastAsia="zh-CN"/>
        </w:rPr>
        <w:t>辽宁省科学技术馆202</w:t>
      </w:r>
      <w:r>
        <w:rPr>
          <w:rFonts w:hint="eastAsia"/>
          <w:b/>
          <w:sz w:val="44"/>
          <w:szCs w:val="44"/>
          <w:lang w:val="en-US" w:eastAsia="zh-CN"/>
        </w:rPr>
        <w:t>5</w:t>
      </w:r>
      <w:r>
        <w:rPr>
          <w:rFonts w:hint="eastAsia"/>
          <w:b/>
          <w:sz w:val="44"/>
          <w:szCs w:val="44"/>
          <w:lang w:eastAsia="zh-CN"/>
        </w:rPr>
        <w:t>年度</w:t>
      </w:r>
      <w:r>
        <w:rPr>
          <w:rFonts w:hint="eastAsia"/>
          <w:b/>
          <w:sz w:val="44"/>
          <w:szCs w:val="44"/>
          <w:lang w:val="en-US" w:eastAsia="zh-CN"/>
        </w:rPr>
        <w:t>单位</w:t>
      </w:r>
      <w:r>
        <w:rPr>
          <w:rFonts w:hint="eastAsia"/>
          <w:b/>
          <w:sz w:val="44"/>
          <w:szCs w:val="44"/>
          <w:lang w:eastAsia="zh-CN"/>
        </w:rPr>
        <w:t>预算</w:t>
      </w:r>
    </w:p>
    <w:p>
      <w:pPr>
        <w:spacing w:line="560" w:lineRule="exact"/>
        <w:jc w:val="center"/>
        <w:rPr>
          <w:rFonts w:hint="eastAsia"/>
          <w:b/>
          <w:sz w:val="44"/>
          <w:szCs w:val="44"/>
          <w:lang w:eastAsia="zh-CN"/>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both"/>
        <w:rPr>
          <w:b/>
          <w:sz w:val="44"/>
          <w:szCs w:val="44"/>
          <w:u w:val="single"/>
        </w:rPr>
      </w:pPr>
    </w:p>
    <w:p>
      <w:pPr>
        <w:spacing w:line="560" w:lineRule="exact"/>
        <w:jc w:val="center"/>
        <w:rPr>
          <w:b/>
          <w:sz w:val="44"/>
          <w:szCs w:val="44"/>
          <w:u w:val="single"/>
        </w:rPr>
      </w:pPr>
    </w:p>
    <w:p>
      <w:pPr>
        <w:spacing w:line="560" w:lineRule="exact"/>
        <w:jc w:val="both"/>
        <w:rPr>
          <w:b/>
          <w:sz w:val="44"/>
          <w:szCs w:val="44"/>
          <w:u w:val="single"/>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center"/>
        <w:rPr>
          <w:rFonts w:hint="eastAsia" w:ascii="黑体" w:hAnsi="黑体" w:eastAsia="黑体"/>
          <w:sz w:val="32"/>
          <w:szCs w:val="32"/>
        </w:rPr>
      </w:pPr>
      <w:r>
        <w:rPr>
          <w:rFonts w:hint="eastAsia"/>
          <w:b/>
          <w:sz w:val="44"/>
          <w:szCs w:val="44"/>
        </w:rPr>
        <w:t>目</w:t>
      </w:r>
      <w:r>
        <w:rPr>
          <w:rFonts w:hint="eastAsia"/>
          <w:b/>
          <w:sz w:val="44"/>
          <w:szCs w:val="44"/>
          <w:lang w:val="en-US" w:eastAsia="zh-CN"/>
        </w:rPr>
        <w:t xml:space="preserve">    </w:t>
      </w:r>
      <w:r>
        <w:rPr>
          <w:rFonts w:hint="eastAsia"/>
          <w:b/>
          <w:sz w:val="44"/>
          <w:szCs w:val="44"/>
        </w:rPr>
        <w:t>录</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预算公开管理文件</w:t>
      </w:r>
    </w:p>
    <w:p>
      <w:pPr>
        <w:spacing w:line="560" w:lineRule="exact"/>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辽宁省科学技术馆概况</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主要</w:t>
      </w:r>
      <w:r>
        <w:rPr>
          <w:rFonts w:hint="eastAsia" w:ascii="仿宋_GB2312" w:hAnsi="黑体" w:eastAsia="仿宋_GB2312"/>
          <w:sz w:val="32"/>
          <w:szCs w:val="32"/>
        </w:rPr>
        <w:t>职责</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辽宁省科学技术馆202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spacing w:line="560" w:lineRule="exact"/>
        <w:rPr>
          <w:rFonts w:hint="eastAsia"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spacing w:line="560" w:lineRule="exact"/>
        <w:rPr>
          <w:rFonts w:hint="eastAsia" w:ascii="黑体" w:hAnsi="黑体" w:eastAsia="黑体"/>
          <w:sz w:val="32"/>
          <w:szCs w:val="32"/>
        </w:rPr>
      </w:pPr>
      <w:r>
        <w:rPr>
          <w:rFonts w:hint="eastAsia" w:ascii="黑体" w:hAnsi="黑体" w:eastAsia="黑体"/>
          <w:sz w:val="32"/>
          <w:szCs w:val="32"/>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年辽宁省科学技术馆</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pPr>
        <w:numPr>
          <w:ilvl w:val="0"/>
          <w:numId w:val="1"/>
        </w:numPr>
        <w:tabs>
          <w:tab w:val="left" w:pos="402"/>
        </w:tabs>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收支预算总表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收入预算总表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支出预算总表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财政拨款收支预算总表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一般公共预算支出表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一般公共预算基本支出表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财政拨款</w:t>
      </w:r>
      <w:r>
        <w:rPr>
          <w:rFonts w:hint="eastAsia" w:ascii="仿宋_GB2312" w:hAnsi="黑体" w:eastAsia="仿宋_GB2312"/>
          <w:sz w:val="32"/>
          <w:szCs w:val="32"/>
          <w:lang w:eastAsia="zh-CN"/>
        </w:rPr>
        <w:t>预算“三公”经费支出表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政府性基金预算支出表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项目支出预算表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支出功能分类预算表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支出经济分类预算表（政府预算）</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支出经济分类预算表（部门预算）</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债务支出预算表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政府采购支出预算表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政府购买服务支出预算表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部门（单位）整体绩效目标表</w:t>
      </w:r>
    </w:p>
    <w:p>
      <w:pPr>
        <w:numPr>
          <w:ilvl w:val="0"/>
          <w:numId w:val="1"/>
        </w:numPr>
        <w:spacing w:line="560" w:lineRule="exact"/>
        <w:ind w:left="420" w:leftChars="0" w:firstLine="42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部门预算项目（政策）绩效目标表</w:t>
      </w:r>
    </w:p>
    <w:p>
      <w:pPr>
        <w:numPr>
          <w:ilvl w:val="0"/>
          <w:numId w:val="0"/>
        </w:numPr>
        <w:spacing w:line="560" w:lineRule="exact"/>
        <w:ind w:left="540" w:leftChars="0"/>
        <w:rPr>
          <w:rFonts w:hint="eastAsia" w:ascii="仿宋_GB2312" w:hAnsi="黑体" w:eastAsia="仿宋_GB2312"/>
          <w:sz w:val="32"/>
          <w:szCs w:val="32"/>
          <w:lang w:eastAsia="zh-CN"/>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jc w:val="both"/>
        <w:rPr>
          <w:rFonts w:ascii="宋体" w:hAnsi="宋体"/>
          <w:b/>
          <w:sz w:val="36"/>
          <w:szCs w:val="36"/>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center"/>
        <w:rPr>
          <w:rFonts w:hint="eastAsia" w:ascii="宋体" w:hAnsi="宋体" w:eastAsia="宋体"/>
          <w:b/>
          <w:sz w:val="36"/>
          <w:szCs w:val="36"/>
          <w:lang w:val="en-US" w:eastAsia="zh-CN"/>
        </w:rPr>
      </w:pPr>
    </w:p>
    <w:p>
      <w:pPr>
        <w:spacing w:line="560" w:lineRule="exact"/>
        <w:jc w:val="both"/>
        <w:rPr>
          <w:rFonts w:hint="eastAsia" w:ascii="宋体" w:hAnsi="宋体" w:eastAsia="宋体"/>
          <w:b/>
          <w:sz w:val="36"/>
          <w:szCs w:val="36"/>
          <w:lang w:val="en-US" w:eastAsia="zh-CN"/>
        </w:rPr>
      </w:pPr>
    </w:p>
    <w:p>
      <w:pPr>
        <w:spacing w:line="560" w:lineRule="exact"/>
        <w:jc w:val="center"/>
        <w:rPr>
          <w:rFonts w:hint="eastAsia" w:ascii="宋体" w:hAnsi="宋体"/>
          <w:b/>
          <w:sz w:val="36"/>
          <w:szCs w:val="36"/>
        </w:rPr>
      </w:pP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宋体" w:hAnsi="宋体"/>
          <w:b/>
          <w:sz w:val="36"/>
          <w:szCs w:val="36"/>
        </w:rPr>
        <w:t>预算公开管理文件</w:t>
      </w:r>
    </w:p>
    <w:p>
      <w:pPr>
        <w:spacing w:line="560" w:lineRule="exact"/>
        <w:jc w:val="center"/>
        <w:rPr>
          <w:rFonts w:hint="eastAsia" w:ascii="宋体" w:hAnsi="宋体"/>
          <w:b/>
          <w:sz w:val="44"/>
          <w:szCs w:val="44"/>
          <w:highlight w:val="yellow"/>
        </w:rPr>
      </w:pPr>
    </w:p>
    <w:p>
      <w:pPr>
        <w:pStyle w:val="6"/>
        <w:shd w:val="clear" w:color="auto" w:fill="FFFFFF"/>
        <w:spacing w:before="0" w:beforeAutospacing="0" w:after="0" w:afterAutospacing="0" w:line="600" w:lineRule="exact"/>
        <w:jc w:val="center"/>
        <w:rPr>
          <w:rFonts w:ascii="仿宋" w:hAnsi="仿宋" w:eastAsia="仿宋"/>
          <w:sz w:val="32"/>
          <w:szCs w:val="32"/>
        </w:rPr>
      </w:pPr>
      <w:r>
        <w:rPr>
          <w:rFonts w:ascii="仿宋_GB2312" w:eastAsia="仿宋_GB2312"/>
          <w:color w:val="000000"/>
          <w:sz w:val="32"/>
          <w:szCs w:val="32"/>
          <w:highlight w:val="none"/>
        </w:rPr>
        <w:t>关于印发《</w:t>
      </w:r>
      <w:r>
        <w:rPr>
          <w:rFonts w:hint="eastAsia" w:ascii="仿宋_GB2312" w:hAnsi="Times New Roman" w:eastAsia="仿宋_GB2312" w:cs="Times New Roman"/>
          <w:color w:val="000000"/>
          <w:kern w:val="2"/>
          <w:sz w:val="32"/>
          <w:szCs w:val="32"/>
          <w:highlight w:val="none"/>
        </w:rPr>
        <w:t>辽宁省科协预决算信息公开管理暂行办法</w:t>
      </w:r>
      <w:r>
        <w:rPr>
          <w:rFonts w:ascii="仿宋_GB2312" w:eastAsia="仿宋_GB2312"/>
          <w:color w:val="000000"/>
          <w:sz w:val="32"/>
          <w:szCs w:val="32"/>
          <w:highlight w:val="none"/>
        </w:rPr>
        <w:t>》的通知</w:t>
      </w:r>
      <w:r>
        <w:rPr>
          <w:rFonts w:hint="eastAsia" w:ascii="仿宋_GB2312" w:eastAsia="仿宋_GB2312"/>
          <w:color w:val="000000"/>
          <w:sz w:val="32"/>
          <w:szCs w:val="32"/>
          <w:highlight w:val="none"/>
        </w:rPr>
        <w:t>(辽科协办发</w:t>
      </w:r>
      <w:r>
        <w:rPr>
          <w:rFonts w:hint="eastAsia" w:ascii="仿宋" w:hAnsi="仿宋" w:eastAsia="仿宋"/>
          <w:color w:val="000000"/>
          <w:sz w:val="32"/>
          <w:szCs w:val="32"/>
          <w:highlight w:val="none"/>
        </w:rPr>
        <w:t>〔2019〕</w:t>
      </w:r>
      <w:r>
        <w:rPr>
          <w:rFonts w:ascii="仿宋" w:hAnsi="仿宋" w:eastAsia="仿宋"/>
          <w:color w:val="000000"/>
          <w:sz w:val="32"/>
          <w:szCs w:val="32"/>
          <w:highlight w:val="none"/>
        </w:rPr>
        <w:t>3</w:t>
      </w:r>
      <w:r>
        <w:rPr>
          <w:rFonts w:hint="eastAsia" w:ascii="仿宋" w:hAnsi="仿宋" w:eastAsia="仿宋"/>
          <w:color w:val="000000"/>
          <w:sz w:val="32"/>
          <w:szCs w:val="32"/>
          <w:highlight w:val="none"/>
        </w:rPr>
        <w:t>号)</w:t>
      </w:r>
    </w:p>
    <w:p>
      <w:pPr>
        <w:pStyle w:val="6"/>
        <w:shd w:val="clear" w:color="auto" w:fill="FFFFFF"/>
        <w:spacing w:before="0" w:beforeAutospacing="0" w:after="0" w:afterAutospacing="0" w:line="600" w:lineRule="exact"/>
        <w:jc w:val="center"/>
        <w:rPr>
          <w:rFonts w:hint="eastAsia" w:ascii="方正小标宋简体" w:eastAsia="方正小标宋简体"/>
          <w:sz w:val="44"/>
          <w:szCs w:val="44"/>
        </w:rPr>
      </w:pPr>
    </w:p>
    <w:p>
      <w:pPr>
        <w:pStyle w:val="6"/>
        <w:shd w:val="clear" w:color="auto" w:fill="FFFFFF"/>
        <w:spacing w:before="0" w:beforeAutospacing="0" w:after="0" w:afterAutospacing="0" w:line="600" w:lineRule="exact"/>
        <w:jc w:val="center"/>
        <w:rPr>
          <w:rFonts w:ascii="方正小标宋简体" w:eastAsia="方正小标宋简体"/>
          <w:sz w:val="44"/>
          <w:szCs w:val="44"/>
        </w:rPr>
      </w:pPr>
      <w:r>
        <w:rPr>
          <w:rFonts w:hint="eastAsia" w:ascii="方正小标宋简体" w:eastAsia="方正小标宋简体"/>
          <w:sz w:val="44"/>
          <w:szCs w:val="44"/>
        </w:rPr>
        <w:t>辽宁省科协预决算信息公开管理暂行办法</w:t>
      </w:r>
    </w:p>
    <w:p>
      <w:pPr>
        <w:pStyle w:val="6"/>
        <w:shd w:val="clear" w:color="auto" w:fill="FFFFFF"/>
        <w:spacing w:beforeLines="5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一、总则</w:t>
      </w:r>
    </w:p>
    <w:p>
      <w:pPr>
        <w:ind w:firstLine="645"/>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第一条  为推进和规范预决算信息公开工作，根据《中华人民共和国预算法》、省财政厅《转发财政部关于印发地方预决算公开操作规程的通知》（辽财预〔2016〕717号）（以下简称《操作规程》）等有关规定，结合实际，制定本办法。</w:t>
      </w:r>
    </w:p>
    <w:p>
      <w:pPr>
        <w:ind w:firstLine="645"/>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第二条  本办法所称预决算信息是指经省财政厅批复的省科协部门预算、决算及报表（以下简称部门预决算）。</w:t>
      </w:r>
    </w:p>
    <w:p>
      <w:pPr>
        <w:ind w:firstLine="645"/>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第三条  预决算公开的原则是：以公开为常态，不公开为例外，依法依规公开预决算信息。确保公开及时、内容全面、真实完整、形式规范。</w:t>
      </w:r>
    </w:p>
    <w:p>
      <w:pPr>
        <w:pStyle w:val="6"/>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二、公开主体和职责</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第四条  省科协为本部门预决算信息公开主体，</w:t>
      </w:r>
      <w:r>
        <w:rPr>
          <w:rFonts w:hint="eastAsia" w:ascii="仿宋_GB2312" w:hAnsi="Times New Roman" w:eastAsia="仿宋_GB2312" w:cs="Times New Roman"/>
          <w:kern w:val="2"/>
          <w:sz w:val="32"/>
          <w:szCs w:val="32"/>
          <w:highlight w:val="yellow"/>
          <w:lang w:val="en-US" w:eastAsia="zh-CN" w:bidi="ar-SA"/>
        </w:rPr>
        <w:t>办公室</w:t>
      </w:r>
      <w:r>
        <w:rPr>
          <w:rFonts w:hint="eastAsia" w:ascii="仿宋_GB2312" w:hAnsi="Times New Roman" w:eastAsia="仿宋_GB2312" w:cs="Times New Roman"/>
          <w:kern w:val="2"/>
          <w:sz w:val="32"/>
          <w:szCs w:val="32"/>
          <w:lang w:val="en-US" w:eastAsia="zh-CN" w:bidi="ar-SA"/>
        </w:rPr>
        <w:t>负责信息公开的具体工作，履行下列职责：</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（一）制定本部门预决算信息公开的工作方案；</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（二）按规定公开本部门的预决算信息；</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（三）按规定做好预决算信息的答复工作；</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（四）法律、法规、规章规定的其他职责。</w:t>
      </w:r>
    </w:p>
    <w:p>
      <w:pPr>
        <w:pStyle w:val="6"/>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三、公开内容</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第五条  部门预决算信息（涉密信息除外）公开内容包括：</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（一）单位职责、机构设置、编制现状、年度主要工作任务等情况。</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（二）部门预决算。除涉密信息外，应公开经省财政厅批复的部门预决算及报表，并对专业性较强的名词作出解释说明。部门预决算支出应当全部公开到支出功能分类项级科目，按规定公开到经济分类科目。</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部门“三公”经费预决算。按照“因公出国（境）费”、“公务接待费”、“公务用车购置及运行费”分项公开，将“公务用车购置及运行费”细化公开到“公务用车购置费”和“公务用车运行费”，并对增减变化的原因进行说明。在“三公”经费决算信息中说明因公出国（境）团组数及人数，公务用车购置数量及保有量，国内公务接待的批次、人数等。</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政府采购情况。在公开部门预决算时，应一并公开政府采购情况。在采购活动开始前，在采购文件中公开项目采购预算，采购时尚未确定项目预算金额的，可不公开具体预算金额；采购活动完成后，公开中标、成交结果和政府采购合同。公开部门决算时，一并公开政府采购货物、工程、服务的总体情况及支持中小企业等政府采购政策的落实情况。</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预算绩效信息。要按照省财政厅对推进预算绩效管理工作的总体部署，逐步将年度预算绩效目标随部门预算一并公开，在部门决算中公开主要重点支出项目的绩效评价结果，将绩效监控、绩效评价等情况在相关工作完成后1个月内公开。</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（六）逐步公开占有使用国有资产的总体情况、分布构成、主要实物资产数据和资产变动情况。</w:t>
      </w:r>
    </w:p>
    <w:p>
      <w:pPr>
        <w:pStyle w:val="6"/>
        <w:shd w:val="clear" w:color="auto" w:fill="FFFFFF"/>
        <w:spacing w:before="0" w:beforeAutospacing="0" w:after="0" w:afterAutospacing="0" w:line="600" w:lineRule="exact"/>
        <w:jc w:val="center"/>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四、公开时间和方式</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第六条  部门预决算应在省财政厅批复后20日内向社会公开。</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第七条  在省科协网站设立“预决算公开”专栏，在省政府门户网站上同步公开本部门预决算信息，并保持长期公开状态。</w:t>
      </w:r>
    </w:p>
    <w:p>
      <w:pPr>
        <w:pStyle w:val="6"/>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五、公开程序</w:t>
      </w:r>
    </w:p>
    <w:p>
      <w:pPr>
        <w:pStyle w:val="6"/>
        <w:shd w:val="clear" w:color="auto" w:fill="FFFFFF"/>
        <w:spacing w:before="0" w:beforeAutospacing="0" w:after="0" w:afterAutospacing="0"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第八条  提前做好部门预决算信息公开准备工作，参考省财政厅预决算公开参考文本，根据相关规定，履行保密审查程序及机关事项审批流程后，在规定时间将部门预决算公开文件及时上传至省政府门户网站邮箱和省科协网站。</w:t>
      </w:r>
    </w:p>
    <w:p>
      <w:pPr>
        <w:pStyle w:val="6"/>
        <w:shd w:val="clear" w:color="auto" w:fill="FFFFFF"/>
        <w:spacing w:before="0" w:beforeAutospacing="0" w:after="0" w:afterAutospacing="0" w:line="600" w:lineRule="exact"/>
        <w:ind w:firstLine="645"/>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第九条  按照相关规定要求，主动回应社会普遍关注的情况，及时解疑释惑，密切关注工作中反映的问题，认真研究整改。</w:t>
      </w:r>
    </w:p>
    <w:p>
      <w:pPr>
        <w:pStyle w:val="6"/>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六、附则</w:t>
      </w:r>
    </w:p>
    <w:p>
      <w:pPr>
        <w:pStyle w:val="6"/>
        <w:shd w:val="clear" w:color="auto" w:fill="FFFFFF"/>
        <w:spacing w:before="0" w:beforeAutospacing="0" w:after="0" w:afterAutospacing="0" w:line="600" w:lineRule="exact"/>
        <w:ind w:firstLine="640" w:firstLineChars="200"/>
        <w:rPr>
          <w:rFonts w:hint="eastAsia" w:ascii="宋体" w:hAnsi="宋体"/>
          <w:b/>
          <w:sz w:val="36"/>
          <w:szCs w:val="36"/>
          <w:lang w:eastAsia="zh-CN"/>
        </w:rPr>
      </w:pPr>
      <w:r>
        <w:rPr>
          <w:rFonts w:hint="eastAsia" w:ascii="仿宋_GB2312" w:hAnsi="Times New Roman" w:eastAsia="仿宋_GB2312" w:cs="Times New Roman"/>
          <w:kern w:val="2"/>
          <w:sz w:val="32"/>
          <w:szCs w:val="32"/>
          <w:lang w:val="en-US" w:eastAsia="zh-CN" w:bidi="ar-SA"/>
        </w:rPr>
        <w:t>第十条  本办法自印发之日起施行。</w:t>
      </w: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r>
        <w:rPr>
          <w:rFonts w:hint="eastAsia" w:ascii="宋体" w:hAnsi="宋体"/>
          <w:b/>
          <w:sz w:val="36"/>
          <w:szCs w:val="36"/>
          <w:lang w:eastAsia="zh-CN"/>
        </w:rPr>
        <w:t>第二部分</w:t>
      </w:r>
      <w:r>
        <w:rPr>
          <w:rFonts w:hint="eastAsia" w:ascii="宋体" w:hAnsi="宋体"/>
          <w:b/>
          <w:sz w:val="36"/>
          <w:szCs w:val="36"/>
          <w:lang w:val="en-US" w:eastAsia="zh-CN"/>
        </w:rPr>
        <w:t xml:space="preserve">  </w:t>
      </w:r>
      <w:r>
        <w:rPr>
          <w:rFonts w:hint="eastAsia" w:ascii="宋体" w:hAnsi="宋体"/>
          <w:b/>
          <w:sz w:val="36"/>
          <w:szCs w:val="36"/>
          <w:lang w:eastAsia="zh-CN"/>
        </w:rPr>
        <w:t>辽宁省科学技术馆概况</w:t>
      </w:r>
    </w:p>
    <w:p>
      <w:pPr>
        <w:spacing w:line="560" w:lineRule="exact"/>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主要</w:t>
      </w:r>
      <w:r>
        <w:rPr>
          <w:rFonts w:hint="eastAsia" w:ascii="黑体" w:eastAsia="黑体"/>
          <w:sz w:val="32"/>
          <w:szCs w:val="32"/>
        </w:rPr>
        <w:t>职责</w:t>
      </w:r>
    </w:p>
    <w:p>
      <w:pPr>
        <w:pStyle w:val="12"/>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480" w:lineRule="auto"/>
        <w:ind w:right="160" w:firstLine="74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(一）开展科学普及、科技传播、科普资源研发等工作，为社会提供公益性科普产品和服务。</w:t>
      </w:r>
    </w:p>
    <w:p>
      <w:pPr>
        <w:pStyle w:val="12"/>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480" w:lineRule="auto"/>
        <w:ind w:right="160" w:firstLine="74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(二）为科技工作者创新创业、成长成才、学术交流、服务社会、成果展示等提供服务平台，宣传科学家精神，创建科技工作者之家。</w:t>
      </w:r>
    </w:p>
    <w:p>
      <w:pPr>
        <w:pStyle w:val="12"/>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480" w:lineRule="auto"/>
        <w:ind w:right="160" w:firstLine="740" w:firstLineChars="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(三）为创新驱动提供学科发展、科技交流合作、成果转化推介、创新方法培训、科技信息咨询等服务。</w:t>
      </w:r>
    </w:p>
    <w:p>
      <w:pPr>
        <w:pStyle w:val="12"/>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480" w:lineRule="auto"/>
        <w:ind w:right="160" w:firstLine="740" w:firstLineChars="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(四）承担省科协交办的其他工作。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黑体" w:eastAsia="黑体"/>
          <w:sz w:val="32"/>
          <w:szCs w:val="32"/>
        </w:rPr>
      </w:pPr>
      <w:r>
        <w:rPr>
          <w:rFonts w:hint="eastAsia" w:ascii="黑体" w:eastAsia="黑体"/>
          <w:sz w:val="32"/>
          <w:szCs w:val="32"/>
        </w:rPr>
        <w:t>二、机构设置</w:t>
      </w:r>
    </w:p>
    <w:p>
      <w:pPr>
        <w:pStyle w:val="12"/>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480" w:lineRule="auto"/>
        <w:ind w:right="160" w:firstLine="740"/>
        <w:jc w:val="both"/>
        <w:textAlignment w:val="auto"/>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辽宁省科学技术馆设5个内设机构：</w:t>
      </w:r>
    </w:p>
    <w:p>
      <w:pPr>
        <w:pStyle w:val="12"/>
        <w:keepNext w:val="0"/>
        <w:keepLines w:val="0"/>
        <w:pageBreakBefore w:val="0"/>
        <w:widowControl w:val="0"/>
        <w:numPr>
          <w:ilvl w:val="0"/>
          <w:numId w:val="2"/>
        </w:numPr>
        <w:shd w:val="clear" w:color="auto" w:fill="auto"/>
        <w:tabs>
          <w:tab w:val="left" w:pos="1555"/>
        </w:tabs>
        <w:kinsoku/>
        <w:wordWrap/>
        <w:overflowPunct/>
        <w:topLinePunct w:val="0"/>
        <w:autoSpaceDE/>
        <w:autoSpaceDN/>
        <w:bidi w:val="0"/>
        <w:adjustRightInd/>
        <w:snapToGrid/>
        <w:spacing w:before="0" w:after="0" w:line="480" w:lineRule="auto"/>
        <w:ind w:right="160" w:firstLine="74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党政群工作部</w:t>
      </w:r>
    </w:p>
    <w:p>
      <w:pPr>
        <w:pStyle w:val="12"/>
        <w:keepNext w:val="0"/>
        <w:keepLines w:val="0"/>
        <w:pageBreakBefore w:val="0"/>
        <w:widowControl w:val="0"/>
        <w:numPr>
          <w:ilvl w:val="0"/>
          <w:numId w:val="2"/>
        </w:numPr>
        <w:shd w:val="clear" w:color="auto" w:fill="auto"/>
        <w:tabs>
          <w:tab w:val="left" w:pos="1555"/>
        </w:tabs>
        <w:kinsoku/>
        <w:wordWrap/>
        <w:overflowPunct/>
        <w:topLinePunct w:val="0"/>
        <w:autoSpaceDE/>
        <w:autoSpaceDN/>
        <w:bidi w:val="0"/>
        <w:adjustRightInd/>
        <w:snapToGrid/>
        <w:spacing w:before="0" w:after="0" w:line="480" w:lineRule="auto"/>
        <w:ind w:left="0" w:leftChars="0" w:right="160" w:firstLine="740" w:firstLineChars="0"/>
        <w:jc w:val="both"/>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科学教育部</w:t>
      </w:r>
    </w:p>
    <w:p>
      <w:pPr>
        <w:pStyle w:val="12"/>
        <w:keepNext w:val="0"/>
        <w:keepLines w:val="0"/>
        <w:pageBreakBefore w:val="0"/>
        <w:widowControl w:val="0"/>
        <w:numPr>
          <w:ilvl w:val="0"/>
          <w:numId w:val="2"/>
        </w:numPr>
        <w:shd w:val="clear" w:color="auto" w:fill="auto"/>
        <w:tabs>
          <w:tab w:val="left" w:pos="1555"/>
        </w:tabs>
        <w:kinsoku/>
        <w:wordWrap/>
        <w:overflowPunct/>
        <w:topLinePunct w:val="0"/>
        <w:autoSpaceDE/>
        <w:autoSpaceDN/>
        <w:bidi w:val="0"/>
        <w:adjustRightInd/>
        <w:snapToGrid/>
        <w:spacing w:before="0" w:after="0" w:line="480" w:lineRule="auto"/>
        <w:ind w:left="0" w:leftChars="0" w:right="160" w:firstLine="740" w:firstLineChars="0"/>
        <w:jc w:val="both"/>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科技活动部</w:t>
      </w:r>
    </w:p>
    <w:p>
      <w:pPr>
        <w:pStyle w:val="12"/>
        <w:keepNext w:val="0"/>
        <w:keepLines w:val="0"/>
        <w:pageBreakBefore w:val="0"/>
        <w:widowControl w:val="0"/>
        <w:numPr>
          <w:ilvl w:val="0"/>
          <w:numId w:val="2"/>
        </w:numPr>
        <w:shd w:val="clear" w:color="auto" w:fill="auto"/>
        <w:tabs>
          <w:tab w:val="left" w:pos="1555"/>
        </w:tabs>
        <w:kinsoku/>
        <w:wordWrap/>
        <w:overflowPunct/>
        <w:topLinePunct w:val="0"/>
        <w:autoSpaceDE/>
        <w:autoSpaceDN/>
        <w:bidi w:val="0"/>
        <w:adjustRightInd/>
        <w:snapToGrid/>
        <w:spacing w:before="0" w:after="0" w:line="480" w:lineRule="auto"/>
        <w:ind w:left="0" w:leftChars="0" w:right="160" w:firstLine="740" w:firstLineChars="0"/>
        <w:jc w:val="both"/>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科技工作者服务部</w:t>
      </w:r>
    </w:p>
    <w:p>
      <w:pPr>
        <w:pStyle w:val="12"/>
        <w:keepNext w:val="0"/>
        <w:keepLines w:val="0"/>
        <w:pageBreakBefore w:val="0"/>
        <w:widowControl w:val="0"/>
        <w:numPr>
          <w:ilvl w:val="0"/>
          <w:numId w:val="2"/>
        </w:numPr>
        <w:shd w:val="clear" w:color="auto" w:fill="auto"/>
        <w:tabs>
          <w:tab w:val="left" w:pos="1555"/>
        </w:tabs>
        <w:kinsoku/>
        <w:wordWrap/>
        <w:overflowPunct/>
        <w:topLinePunct w:val="0"/>
        <w:autoSpaceDE/>
        <w:autoSpaceDN/>
        <w:bidi w:val="0"/>
        <w:adjustRightInd/>
        <w:snapToGrid/>
        <w:spacing w:before="0" w:after="0" w:line="480" w:lineRule="auto"/>
        <w:ind w:left="0" w:leftChars="0" w:right="160" w:firstLine="740" w:firstLineChars="0"/>
        <w:jc w:val="both"/>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资源管理保障部</w:t>
      </w:r>
    </w:p>
    <w:p>
      <w:pPr>
        <w:pStyle w:val="12"/>
        <w:shd w:val="clear" w:color="auto" w:fill="auto"/>
        <w:tabs>
          <w:tab w:val="left" w:pos="1555"/>
        </w:tabs>
        <w:spacing w:before="0" w:after="0" w:line="360" w:lineRule="auto"/>
        <w:ind w:right="160" w:firstLine="7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br w:type="page"/>
      </w:r>
    </w:p>
    <w:p>
      <w:pPr>
        <w:numPr>
          <w:ilvl w:val="0"/>
          <w:numId w:val="3"/>
        </w:numPr>
        <w:spacing w:line="560" w:lineRule="exact"/>
        <w:jc w:val="center"/>
        <w:rPr>
          <w:rFonts w:hint="eastAsia" w:ascii="宋体" w:hAnsi="宋体"/>
          <w:b/>
          <w:sz w:val="36"/>
          <w:szCs w:val="36"/>
          <w:lang w:eastAsia="zh-CN"/>
        </w:rPr>
      </w:pPr>
      <w:r>
        <w:rPr>
          <w:rFonts w:hint="eastAsia" w:ascii="宋体" w:hAnsi="宋体"/>
          <w:b/>
          <w:sz w:val="36"/>
          <w:szCs w:val="36"/>
          <w:lang w:eastAsia="zh-CN"/>
        </w:rPr>
        <w:t>辽宁省科学技术馆202</w:t>
      </w:r>
      <w:r>
        <w:rPr>
          <w:rFonts w:hint="eastAsia" w:ascii="宋体" w:hAnsi="宋体"/>
          <w:b/>
          <w:sz w:val="36"/>
          <w:szCs w:val="36"/>
          <w:lang w:val="en-US" w:eastAsia="zh-CN"/>
        </w:rPr>
        <w:t>5</w:t>
      </w:r>
      <w:r>
        <w:rPr>
          <w:rFonts w:hint="eastAsia" w:ascii="宋体" w:hAnsi="宋体"/>
          <w:b/>
          <w:sz w:val="36"/>
          <w:szCs w:val="36"/>
          <w:lang w:eastAsia="zh-CN"/>
        </w:rPr>
        <w:t>年</w:t>
      </w:r>
      <w:r>
        <w:rPr>
          <w:rFonts w:hint="eastAsia" w:ascii="宋体" w:hAnsi="宋体"/>
          <w:b/>
          <w:sz w:val="36"/>
          <w:szCs w:val="36"/>
          <w:lang w:val="en-US" w:eastAsia="zh-CN"/>
        </w:rPr>
        <w:t>单位</w:t>
      </w:r>
      <w:r>
        <w:rPr>
          <w:rFonts w:hint="eastAsia" w:ascii="宋体" w:hAnsi="宋体"/>
          <w:b/>
          <w:sz w:val="36"/>
          <w:szCs w:val="36"/>
          <w:lang w:eastAsia="zh-CN"/>
        </w:rPr>
        <w:t>预算</w:t>
      </w:r>
    </w:p>
    <w:p>
      <w:pPr>
        <w:numPr>
          <w:ilvl w:val="0"/>
          <w:numId w:val="0"/>
        </w:numPr>
        <w:spacing w:line="560" w:lineRule="exact"/>
        <w:jc w:val="center"/>
        <w:rPr>
          <w:rFonts w:hint="eastAsia" w:ascii="宋体" w:hAnsi="宋体"/>
          <w:b/>
          <w:sz w:val="36"/>
          <w:szCs w:val="36"/>
          <w:lang w:eastAsia="zh-CN"/>
        </w:rPr>
      </w:pPr>
      <w:r>
        <w:rPr>
          <w:rFonts w:hint="eastAsia" w:ascii="宋体" w:hAnsi="宋体"/>
          <w:b/>
          <w:sz w:val="36"/>
          <w:szCs w:val="36"/>
          <w:lang w:eastAsia="zh-CN"/>
        </w:rPr>
        <w:t>情况说明</w:t>
      </w:r>
    </w:p>
    <w:p>
      <w:pPr>
        <w:keepNext w:val="0"/>
        <w:keepLines w:val="0"/>
        <w:pageBreakBefore w:val="0"/>
        <w:widowControl w:val="0"/>
        <w:kinsoku/>
        <w:wordWrap/>
        <w:overflowPunct/>
        <w:topLinePunct w:val="0"/>
        <w:autoSpaceDE/>
        <w:autoSpaceDN/>
        <w:bidi w:val="0"/>
        <w:adjustRightInd/>
        <w:snapToGrid/>
        <w:spacing w:line="720" w:lineRule="exact"/>
        <w:ind w:firstLine="627" w:firstLineChars="196"/>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627" w:firstLineChars="196"/>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综合预算收支指标</w:t>
      </w:r>
      <w:r>
        <w:rPr>
          <w:rFonts w:hint="eastAsia" w:ascii="黑体" w:hAnsi="黑体" w:eastAsia="黑体"/>
          <w:sz w:val="32"/>
          <w:szCs w:val="32"/>
          <w:highlight w:val="none"/>
        </w:rPr>
        <w:t>情况</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9381.48</w:t>
      </w:r>
      <w:r>
        <w:rPr>
          <w:rFonts w:hint="eastAsia" w:ascii="楷体" w:hAnsi="楷体" w:eastAsia="楷体"/>
          <w:b/>
          <w:sz w:val="32"/>
          <w:szCs w:val="32"/>
        </w:rPr>
        <w:t>万元，</w:t>
      </w:r>
      <w:r>
        <w:rPr>
          <w:rFonts w:hint="eastAsia" w:ascii="仿宋_GB2312" w:hAnsi="宋体" w:eastAsia="仿宋_GB2312"/>
          <w:sz w:val="32"/>
          <w:szCs w:val="32"/>
        </w:rPr>
        <w:t>其中：</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8581.48</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2.政府性基金预算拨款收入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3.国有资本经营预算拨款收入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4.财政专户管理资金收入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5.单位资金收入</w:t>
      </w:r>
      <w:r>
        <w:rPr>
          <w:rFonts w:hint="eastAsia" w:ascii="仿宋_GB2312" w:hAnsi="宋体" w:eastAsia="仿宋_GB2312"/>
          <w:sz w:val="32"/>
          <w:szCs w:val="32"/>
          <w:lang w:val="en-US" w:eastAsia="zh-CN"/>
        </w:rPr>
        <w:t>800</w:t>
      </w:r>
      <w:r>
        <w:rPr>
          <w:rFonts w:hint="eastAsia" w:ascii="仿宋_GB2312" w:hAnsi="宋体" w:eastAsia="仿宋_GB2312"/>
          <w:sz w:val="32"/>
          <w:szCs w:val="32"/>
        </w:rPr>
        <w:t>万元，其中：事业收入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万元，事业单位经营收入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万元，其他收入</w:t>
      </w:r>
      <w:r>
        <w:rPr>
          <w:rFonts w:hint="eastAsia" w:ascii="仿宋_GB2312" w:hAnsi="宋体" w:eastAsia="仿宋_GB2312"/>
          <w:sz w:val="32"/>
          <w:szCs w:val="32"/>
          <w:lang w:val="en-US" w:eastAsia="zh-CN"/>
        </w:rPr>
        <w:t>800</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hAnsi="宋体" w:eastAsia="仿宋_GB2312"/>
          <w:sz w:val="32"/>
          <w:szCs w:val="32"/>
        </w:rPr>
      </w:pPr>
      <w:r>
        <w:rPr>
          <w:rFonts w:hint="eastAsia" w:ascii="仿宋_GB2312" w:hAnsi="宋体" w:eastAsia="仿宋_GB2312"/>
          <w:sz w:val="32"/>
          <w:szCs w:val="32"/>
        </w:rPr>
        <w:t>6.上年结转结余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万元，其中上年财政专户管理资金超收收入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万元，政府性基金预算超收收入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widowControl w:val="0"/>
        <w:kinsoku/>
        <w:wordWrap/>
        <w:overflowPunct/>
        <w:topLinePunct w:val="0"/>
        <w:autoSpaceDN/>
        <w:bidi w:val="0"/>
        <w:adjustRightInd/>
        <w:snapToGrid/>
        <w:spacing w:line="480" w:lineRule="auto"/>
        <w:ind w:left="638" w:leftChars="304" w:firstLine="16" w:firstLineChars="5"/>
        <w:textAlignment w:val="auto"/>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9381.48</w:t>
      </w:r>
      <w:r>
        <w:rPr>
          <w:rFonts w:hint="eastAsia" w:ascii="楷体" w:hAnsi="楷体" w:eastAsia="楷体"/>
          <w:b/>
          <w:sz w:val="32"/>
          <w:szCs w:val="32"/>
        </w:rPr>
        <w:t>万元，</w:t>
      </w:r>
      <w:r>
        <w:rPr>
          <w:rFonts w:hint="eastAsia" w:ascii="仿宋_GB2312" w:hAnsi="宋体" w:eastAsia="仿宋_GB2312"/>
          <w:sz w:val="32"/>
          <w:szCs w:val="32"/>
        </w:rPr>
        <w:t>其中：</w:t>
      </w:r>
    </w:p>
    <w:p>
      <w:pPr>
        <w:keepNext w:val="0"/>
        <w:keepLines w:val="0"/>
        <w:pageBreakBefore w:val="0"/>
        <w:widowControl w:val="0"/>
        <w:kinsoku/>
        <w:wordWrap/>
        <w:overflowPunct/>
        <w:topLinePunct w:val="0"/>
        <w:autoSpaceDE w:val="0"/>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1.基本支出</w:t>
      </w:r>
      <w:r>
        <w:rPr>
          <w:rFonts w:hint="eastAsia" w:ascii="仿宋_GB2312" w:eastAsia="仿宋_GB2312"/>
          <w:sz w:val="32"/>
          <w:szCs w:val="32"/>
          <w:lang w:val="en-US" w:eastAsia="zh-CN"/>
        </w:rPr>
        <w:t>2733.48</w:t>
      </w:r>
      <w:r>
        <w:rPr>
          <w:rFonts w:hint="eastAsia" w:ascii="仿宋_GB2312" w:eastAsia="仿宋_GB2312"/>
          <w:sz w:val="32"/>
          <w:szCs w:val="32"/>
        </w:rPr>
        <w:t>万元；</w:t>
      </w:r>
    </w:p>
    <w:p>
      <w:pPr>
        <w:keepNext w:val="0"/>
        <w:keepLines w:val="0"/>
        <w:pageBreakBefore w:val="0"/>
        <w:widowControl w:val="0"/>
        <w:kinsoku/>
        <w:wordWrap/>
        <w:overflowPunct/>
        <w:topLinePunct w:val="0"/>
        <w:autoSpaceDE w:val="0"/>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2.项目支出</w:t>
      </w:r>
      <w:r>
        <w:rPr>
          <w:rFonts w:hint="eastAsia" w:ascii="仿宋_GB2312" w:eastAsia="仿宋_GB2312"/>
          <w:sz w:val="32"/>
          <w:szCs w:val="32"/>
          <w:highlight w:val="none"/>
          <w:lang w:val="en-US" w:eastAsia="zh-CN"/>
        </w:rPr>
        <w:t>6648</w:t>
      </w:r>
      <w:r>
        <w:rPr>
          <w:rFonts w:hint="eastAsia" w:ascii="仿宋_GB2312" w:eastAsia="仿宋_GB2312"/>
          <w:sz w:val="32"/>
          <w:szCs w:val="32"/>
        </w:rPr>
        <w:t>万元。</w:t>
      </w:r>
    </w:p>
    <w:p>
      <w:pPr>
        <w:keepNext w:val="0"/>
        <w:keepLines w:val="0"/>
        <w:pageBreakBefore w:val="0"/>
        <w:widowControl w:val="0"/>
        <w:kinsoku/>
        <w:wordWrap/>
        <w:overflowPunct/>
        <w:topLinePunct w:val="0"/>
        <w:autoSpaceDE w:val="0"/>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在支出预算中债务支出</w:t>
      </w:r>
      <w:r>
        <w:rPr>
          <w:rFonts w:hint="eastAsia" w:ascii="仿宋_GB2312" w:eastAsia="仿宋_GB2312"/>
          <w:sz w:val="32"/>
          <w:szCs w:val="32"/>
          <w:lang w:val="en-US" w:eastAsia="zh-CN"/>
        </w:rPr>
        <w:t>0</w:t>
      </w:r>
      <w:r>
        <w:rPr>
          <w:rFonts w:hint="eastAsia" w:ascii="仿宋_GB2312" w:eastAsia="仿宋_GB2312"/>
          <w:sz w:val="32"/>
          <w:szCs w:val="32"/>
        </w:rPr>
        <w:t>万元；政府采购支出</w:t>
      </w:r>
      <w:r>
        <w:rPr>
          <w:rFonts w:hint="eastAsia" w:ascii="仿宋_GB2312" w:eastAsia="仿宋_GB2312"/>
          <w:sz w:val="32"/>
          <w:szCs w:val="32"/>
          <w:lang w:val="en-US" w:eastAsia="zh-CN"/>
        </w:rPr>
        <w:t>1022</w:t>
      </w:r>
      <w:r>
        <w:rPr>
          <w:rFonts w:hint="eastAsia" w:ascii="仿宋_GB2312" w:eastAsia="仿宋_GB2312"/>
          <w:sz w:val="32"/>
          <w:szCs w:val="32"/>
        </w:rPr>
        <w:t>万元；政府购买服务支出</w:t>
      </w:r>
      <w:r>
        <w:rPr>
          <w:rFonts w:hint="eastAsia" w:ascii="仿宋_GB2312" w:eastAsia="仿宋_GB2312"/>
          <w:sz w:val="32"/>
          <w:szCs w:val="32"/>
          <w:lang w:val="en-US" w:eastAsia="zh-CN"/>
        </w:rPr>
        <w:t>0</w:t>
      </w:r>
      <w:r>
        <w:rPr>
          <w:rFonts w:hint="eastAsia" w:ascii="仿宋_GB2312" w:eastAsia="仿宋_GB2312"/>
          <w:sz w:val="32"/>
          <w:szCs w:val="32"/>
        </w:rPr>
        <w:t>万元；纳入预算绩效管理的特定目标类项目</w:t>
      </w:r>
      <w:r>
        <w:rPr>
          <w:rFonts w:hint="eastAsia" w:ascii="仿宋_GB2312" w:eastAsia="仿宋_GB2312"/>
          <w:sz w:val="32"/>
          <w:szCs w:val="32"/>
          <w:lang w:val="en-US" w:eastAsia="zh-CN"/>
        </w:rPr>
        <w:t>共2</w:t>
      </w:r>
      <w:r>
        <w:rPr>
          <w:rFonts w:hint="eastAsia" w:ascii="仿宋_GB2312" w:eastAsia="仿宋_GB2312"/>
          <w:color w:val="000000" w:themeColor="text1"/>
          <w:sz w:val="32"/>
          <w:szCs w:val="32"/>
          <w:lang w:val="en-US" w:eastAsia="zh-CN"/>
          <w14:textFill>
            <w14:solidFill>
              <w14:schemeClr w14:val="tx1"/>
            </w14:solidFill>
          </w14:textFill>
        </w:rPr>
        <w:t>个</w:t>
      </w:r>
      <w:r>
        <w:rPr>
          <w:rFonts w:hint="eastAsia" w:ascii="仿宋_GB2312" w:eastAsia="仿宋_GB2312"/>
          <w:color w:val="000000" w:themeColor="text1"/>
          <w:sz w:val="32"/>
          <w:szCs w:val="32"/>
          <w14:textFill>
            <w14:solidFill>
              <w14:schemeClr w14:val="tx1"/>
            </w14:solidFill>
          </w14:textFill>
        </w:rPr>
        <w:t>，涉及资金</w:t>
      </w:r>
      <w:r>
        <w:rPr>
          <w:rFonts w:hint="eastAsia" w:ascii="仿宋_GB2312" w:eastAsia="仿宋_GB2312"/>
          <w:color w:val="000000" w:themeColor="text1"/>
          <w:sz w:val="32"/>
          <w:szCs w:val="32"/>
          <w:lang w:val="en-US" w:eastAsia="zh-CN"/>
          <w14:textFill>
            <w14:solidFill>
              <w14:schemeClr w14:val="tx1"/>
            </w14:solidFill>
          </w14:textFill>
        </w:rPr>
        <w:t>6648</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napToGrid/>
        <w:spacing w:line="480" w:lineRule="auto"/>
        <w:ind w:firstLine="640" w:firstLineChars="200"/>
        <w:textAlignment w:val="auto"/>
        <w:rPr>
          <w:rFonts w:hint="default" w:ascii="黑体" w:hAnsi="宋体" w:eastAsia="黑体"/>
          <w:sz w:val="32"/>
          <w:szCs w:val="32"/>
          <w:lang w:val="en-US" w:eastAsia="zh-CN"/>
        </w:rPr>
      </w:pPr>
      <w:r>
        <w:rPr>
          <w:rFonts w:hint="eastAsia" w:ascii="黑体" w:hAnsi="黑体" w:eastAsia="黑体"/>
          <w:sz w:val="32"/>
          <w:szCs w:val="32"/>
          <w:lang w:val="en-US" w:eastAsia="zh-CN"/>
        </w:rPr>
        <w:t>2025</w:t>
      </w:r>
      <w:r>
        <w:rPr>
          <w:rFonts w:hint="eastAsia" w:ascii="黑体" w:hAnsi="黑体" w:eastAsia="黑体"/>
          <w:sz w:val="32"/>
          <w:szCs w:val="32"/>
        </w:rPr>
        <w:t>年预算收支比</w:t>
      </w:r>
      <w:r>
        <w:rPr>
          <w:rFonts w:hint="eastAsia" w:ascii="黑体" w:hAnsi="黑体" w:eastAsia="黑体"/>
          <w:sz w:val="32"/>
          <w:szCs w:val="32"/>
          <w:lang w:eastAsia="zh-CN"/>
        </w:rPr>
        <w:t>上</w:t>
      </w:r>
      <w:r>
        <w:rPr>
          <w:rFonts w:hint="eastAsia" w:ascii="黑体" w:hAnsi="黑体" w:eastAsia="黑体"/>
          <w:sz w:val="32"/>
          <w:szCs w:val="32"/>
        </w:rPr>
        <w:t>年</w:t>
      </w:r>
      <w:r>
        <w:rPr>
          <w:rFonts w:hint="eastAsia" w:ascii="黑体" w:hAnsi="黑体" w:eastAsia="黑体"/>
          <w:sz w:val="32"/>
          <w:szCs w:val="32"/>
          <w:lang w:val="en-US" w:eastAsia="zh-CN"/>
        </w:rPr>
        <w:t>增加174.04</w:t>
      </w:r>
      <w:r>
        <w:rPr>
          <w:rFonts w:hint="eastAsia" w:ascii="黑体" w:hAnsi="黑体" w:eastAsia="黑体"/>
          <w:sz w:val="32"/>
          <w:szCs w:val="32"/>
        </w:rPr>
        <w:t>万元，增减变化的主要原因为</w:t>
      </w:r>
      <w:r>
        <w:rPr>
          <w:rFonts w:hint="eastAsia" w:ascii="黑体" w:hAnsi="黑体" w:eastAsia="黑体"/>
          <w:sz w:val="32"/>
          <w:szCs w:val="32"/>
          <w:lang w:val="en-US" w:eastAsia="zh-CN"/>
        </w:rPr>
        <w:t>项目支出增加。</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黑体" w:hAnsi="宋体" w:eastAsia="黑体"/>
          <w:sz w:val="32"/>
          <w:szCs w:val="32"/>
        </w:rPr>
      </w:pPr>
      <w:r>
        <w:rPr>
          <w:rFonts w:hint="eastAsia" w:ascii="黑体" w:hAnsi="宋体" w:eastAsia="黑体"/>
          <w:sz w:val="32"/>
          <w:szCs w:val="32"/>
          <w:lang w:eastAsia="zh-CN"/>
        </w:rPr>
        <w:t>二</w:t>
      </w:r>
      <w:r>
        <w:rPr>
          <w:rFonts w:hint="eastAsia" w:ascii="黑体" w:hAnsi="宋体" w:eastAsia="黑体"/>
          <w:sz w:val="32"/>
          <w:szCs w:val="32"/>
        </w:rPr>
        <w:t>、机关运行经费安排情况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辽宁省科学技术馆</w:t>
      </w:r>
      <w:r>
        <w:rPr>
          <w:rFonts w:hint="eastAsia" w:ascii="仿宋_GB2312" w:eastAsia="仿宋_GB2312"/>
          <w:sz w:val="32"/>
          <w:szCs w:val="32"/>
          <w:lang w:val="en-US" w:eastAsia="zh-CN"/>
        </w:rPr>
        <w:t>为事业单位，2025年无</w:t>
      </w:r>
      <w:r>
        <w:rPr>
          <w:rFonts w:hint="eastAsia" w:ascii="仿宋_GB2312" w:eastAsia="仿宋_GB2312"/>
          <w:sz w:val="32"/>
          <w:szCs w:val="32"/>
        </w:rPr>
        <w:t>机关运行经费。</w:t>
      </w:r>
    </w:p>
    <w:p>
      <w:pPr>
        <w:keepNext w:val="0"/>
        <w:keepLines w:val="0"/>
        <w:pageBreakBefore w:val="0"/>
        <w:widowControl w:val="0"/>
        <w:kinsoku/>
        <w:wordWrap/>
        <w:overflowPunct/>
        <w:topLinePunct w:val="0"/>
        <w:autoSpaceDE/>
        <w:autoSpaceDN/>
        <w:bidi w:val="0"/>
        <w:adjustRightInd/>
        <w:snapToGrid/>
        <w:spacing w:line="480" w:lineRule="auto"/>
        <w:ind w:firstLine="660"/>
        <w:textAlignment w:val="auto"/>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2025年辽宁省科学技术馆安排政府采购预算1022万元，具体为货物0万元，服务1022万元，工程0万元；预留面向中小企业采购份额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万元，其中预留给小微企业0万元。</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、“三公”经费预算情况</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2025年，辽宁省科学技术馆财政拨款预算安排的“三公”经费预算为24.2万元，与上年持平。其中：</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1.因公出国（境）费0万元，与上年持平。</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2.公务接待费4.4万元，与上年持平。</w:t>
      </w:r>
    </w:p>
    <w:p>
      <w:pPr>
        <w:keepNext w:val="0"/>
        <w:keepLines w:val="0"/>
        <w:pageBreakBefore w:val="0"/>
        <w:widowControl w:val="0"/>
        <w:kinsoku/>
        <w:wordWrap/>
        <w:overflowPunct/>
        <w:topLinePunct w:val="0"/>
        <w:autoSpaceDN/>
        <w:bidi w:val="0"/>
        <w:adjustRightInd/>
        <w:snapToGrid/>
        <w:spacing w:line="480" w:lineRule="auto"/>
        <w:ind w:firstLine="66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3.公务用车购置及运行费19.8万元（其中：公务用车购置费0万元，与上年持平；公务用车运行费19.8万元，与上年持平），比上年持平。</w:t>
      </w:r>
    </w:p>
    <w:tbl>
      <w:tblPr>
        <w:tblStyle w:val="9"/>
        <w:tblpPr w:leftFromText="180" w:rightFromText="180" w:vertAnchor="text" w:horzAnchor="page" w:tblpX="1896" w:tblpY="566"/>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tblPrEx>
          <w:tblLayout w:type="fixed"/>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仿宋" w:hAnsi="仿宋" w:eastAsia="仿宋" w:cs="宋体"/>
                <w:color w:val="000000"/>
                <w:kern w:val="0"/>
                <w:sz w:val="32"/>
                <w:szCs w:val="32"/>
              </w:rPr>
            </w:pPr>
            <w:r>
              <w:rPr>
                <w:rFonts w:hint="eastAsia" w:ascii="宋体" w:hAnsi="宋体" w:cs="宋体"/>
                <w:b/>
                <w:bCs/>
                <w:color w:val="000000"/>
                <w:kern w:val="0"/>
                <w:sz w:val="30"/>
                <w:szCs w:val="30"/>
                <w:lang w:eastAsia="zh-CN"/>
              </w:rPr>
              <w:t>一般公共预算“三公”经费支出表</w:t>
            </w:r>
          </w:p>
        </w:tc>
      </w:tr>
      <w:tr>
        <w:tblPrEx>
          <w:tblLayout w:type="fixed"/>
          <w:tblCellMar>
            <w:top w:w="15" w:type="dxa"/>
            <w:left w:w="108" w:type="dxa"/>
            <w:bottom w:w="15" w:type="dxa"/>
            <w:right w:w="108" w:type="dxa"/>
          </w:tblCellMar>
        </w:tblPrEx>
        <w:trPr>
          <w:trHeight w:val="545" w:hRule="atLeast"/>
        </w:trPr>
        <w:tc>
          <w:tcPr>
            <w:tcW w:w="3423" w:type="dxa"/>
            <w:vAlign w:val="center"/>
          </w:tcPr>
          <w:p>
            <w:pPr>
              <w:widowControl/>
              <w:spacing w:line="560" w:lineRule="exact"/>
              <w:jc w:val="right"/>
              <w:rPr>
                <w:rFonts w:hint="eastAsia" w:ascii="宋体" w:hAnsi="宋体" w:cs="宋体"/>
                <w:color w:val="000000"/>
                <w:kern w:val="0"/>
                <w:sz w:val="24"/>
              </w:rPr>
            </w:pPr>
          </w:p>
        </w:tc>
        <w:tc>
          <w:tcPr>
            <w:tcW w:w="2026" w:type="dxa"/>
            <w:vAlign w:val="center"/>
          </w:tcPr>
          <w:p>
            <w:pPr>
              <w:widowControl/>
              <w:spacing w:line="560" w:lineRule="exact"/>
              <w:jc w:val="right"/>
              <w:rPr>
                <w:rFonts w:hint="eastAsia" w:ascii="宋体" w:hAnsi="宋体" w:cs="宋体"/>
                <w:color w:val="000000"/>
                <w:kern w:val="0"/>
                <w:sz w:val="24"/>
              </w:rPr>
            </w:pPr>
          </w:p>
        </w:tc>
        <w:tc>
          <w:tcPr>
            <w:tcW w:w="3386" w:type="dxa"/>
            <w:gridSpan w:val="2"/>
            <w:vAlign w:val="center"/>
          </w:tcPr>
          <w:p>
            <w:pPr>
              <w:widowControl/>
              <w:spacing w:line="560" w:lineRule="exact"/>
              <w:jc w:val="right"/>
              <w:rPr>
                <w:rFonts w:hint="eastAsia"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right"/>
              <w:rPr>
                <w:rFonts w:hint="eastAsia" w:ascii="宋体" w:hAnsi="宋体" w:cs="宋体"/>
                <w:b/>
                <w:bCs/>
                <w:color w:val="000000"/>
                <w:kern w:val="0"/>
                <w:sz w:val="24"/>
                <w:highlight w:val="none"/>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2024</w:t>
            </w:r>
            <w:r>
              <w:rPr>
                <w:rFonts w:hint="eastAsia" w:ascii="宋体" w:hAnsi="宋体" w:cs="宋体"/>
                <w:b/>
                <w:bCs/>
                <w:color w:val="000000"/>
                <w:kern w:val="0"/>
                <w:sz w:val="24"/>
                <w:highlight w:val="none"/>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2025</w:t>
            </w:r>
            <w:r>
              <w:rPr>
                <w:rFonts w:hint="eastAsia" w:ascii="宋体" w:hAnsi="宋体" w:cs="宋体"/>
                <w:b/>
                <w:bCs/>
                <w:color w:val="000000"/>
                <w:kern w:val="0"/>
                <w:sz w:val="24"/>
                <w:highlight w:val="none"/>
              </w:rPr>
              <w:t>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szCs w:val="24"/>
                <w:highlight w:val="none"/>
                <w:lang w:val="en-US" w:eastAsia="zh-CN" w:bidi="ar-SA"/>
              </w:rPr>
            </w:pPr>
            <w:r>
              <w:rPr>
                <w:rFonts w:hint="eastAsia" w:ascii="宋体" w:hAnsi="宋体" w:cs="宋体"/>
                <w:b/>
                <w:bCs/>
                <w:color w:val="000000"/>
                <w:kern w:val="0"/>
                <w:sz w:val="24"/>
                <w:highlight w:val="none"/>
                <w:lang w:val="en-US" w:eastAsia="zh-CN"/>
              </w:rPr>
              <w:t>24.2</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lang w:val="en-US" w:eastAsia="zh-CN"/>
              </w:rPr>
              <w:t>24.2</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4.4</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4.4</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19.8</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19.8</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19.8</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19.8</w:t>
            </w:r>
          </w:p>
        </w:tc>
      </w:tr>
    </w:tbl>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、国有资产占用情况</w:t>
      </w:r>
    </w:p>
    <w:p>
      <w:pPr>
        <w:spacing w:line="56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仿宋_GB2312" w:hAnsi="宋体" w:eastAsia="仿宋_GB2312"/>
          <w:sz w:val="32"/>
          <w:szCs w:val="32"/>
        </w:rPr>
        <w:t>辽宁省科学技术馆202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年年初预算</w:t>
      </w:r>
      <w:r>
        <w:rPr>
          <w:rFonts w:hint="eastAsia" w:ascii="仿宋_GB2312" w:hAnsi="宋体" w:eastAsia="仿宋_GB2312"/>
          <w:sz w:val="32"/>
          <w:szCs w:val="32"/>
          <w:lang w:val="en-US" w:eastAsia="zh-CN"/>
        </w:rPr>
        <w:t>购置固定资产4万元。其中：</w:t>
      </w:r>
      <w:r>
        <w:rPr>
          <w:rFonts w:hint="eastAsia" w:ascii="仿宋_GB2312" w:hAnsi="宋体" w:eastAsia="仿宋_GB2312"/>
          <w:color w:val="auto"/>
          <w:sz w:val="32"/>
          <w:szCs w:val="32"/>
        </w:rPr>
        <w:t>车辆</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台，金额</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000000" w:themeColor="text1"/>
          <w:sz w:val="32"/>
          <w:szCs w:val="32"/>
          <w14:textFill>
            <w14:solidFill>
              <w14:schemeClr w14:val="tx1"/>
            </w14:solidFill>
          </w14:textFill>
        </w:rPr>
        <w:t>单位价值50万元</w:t>
      </w:r>
      <w:r>
        <w:rPr>
          <w:rFonts w:hint="eastAsia" w:ascii="仿宋_GB2312" w:hAnsi="宋体" w:eastAsia="仿宋_GB2312"/>
          <w:color w:val="000000" w:themeColor="text1"/>
          <w:sz w:val="32"/>
          <w:szCs w:val="32"/>
          <w:lang w:val="en-US" w:eastAsia="zh-CN"/>
          <w14:textFill>
            <w14:solidFill>
              <w14:schemeClr w14:val="tx1"/>
            </w14:solidFill>
          </w14:textFill>
        </w:rPr>
        <w:t>-100万元的</w:t>
      </w:r>
      <w:r>
        <w:rPr>
          <w:rFonts w:hint="eastAsia" w:ascii="仿宋_GB2312" w:hAnsi="宋体" w:eastAsia="仿宋_GB2312"/>
          <w:color w:val="000000" w:themeColor="text1"/>
          <w:sz w:val="32"/>
          <w:szCs w:val="32"/>
          <w14:textFill>
            <w14:solidFill>
              <w14:schemeClr w14:val="tx1"/>
            </w14:solidFill>
          </w14:textFill>
        </w:rPr>
        <w:t>设备</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台，单位价值100万元以上的设备</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台。</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、预算绩效目标情况</w:t>
      </w:r>
    </w:p>
    <w:p>
      <w:pPr>
        <w:spacing w:line="560" w:lineRule="exact"/>
        <w:ind w:firstLine="627" w:firstLineChars="196"/>
        <w:rPr>
          <w:rFonts w:ascii="仿宋" w:hAnsi="仿宋" w:eastAsia="仿宋" w:cs="宋体"/>
          <w:color w:val="000000"/>
          <w:kern w:val="0"/>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辽宁省科学技术馆2025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年应编制绩效目标的特定目标类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w:t>
      </w:r>
      <w:r>
        <w:rPr>
          <w:rFonts w:hint="eastAsia" w:ascii="仿宋_GB2312" w:hAnsi="宋体" w:eastAsia="仿宋_GB2312"/>
          <w:sz w:val="32"/>
          <w:szCs w:val="32"/>
        </w:rPr>
        <w:t>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w:t>
      </w:r>
      <w:bookmarkStart w:id="0" w:name="_GoBack"/>
      <w:r>
        <w:rPr>
          <w:rFonts w:hint="eastAsia" w:ascii="仿宋_GB2312" w:hAnsi="宋体" w:eastAsia="仿宋_GB2312"/>
          <w:sz w:val="32"/>
          <w:szCs w:val="32"/>
        </w:rPr>
        <w:t>际编制绩效目标的特定目标类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w:t>
      </w:r>
      <w:r>
        <w:rPr>
          <w:rFonts w:hint="eastAsia" w:ascii="仿宋_GB2312" w:hAnsi="宋体" w:eastAsia="仿宋_GB2312"/>
          <w:sz w:val="32"/>
          <w:szCs w:val="32"/>
        </w:rPr>
        <w:t>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w:t>
      </w:r>
      <w:bookmarkEnd w:id="0"/>
      <w:r>
        <w:rPr>
          <w:rFonts w:hint="eastAsia" w:ascii="仿宋_GB2312" w:hAnsi="宋体" w:eastAsia="仿宋_GB2312"/>
          <w:sz w:val="32"/>
          <w:szCs w:val="32"/>
        </w:rPr>
        <w:t>涉及资金</w:t>
      </w:r>
      <w:r>
        <w:rPr>
          <w:rFonts w:hint="eastAsia" w:ascii="仿宋_GB2312" w:hAnsi="宋体" w:eastAsia="仿宋_GB2312"/>
          <w:sz w:val="32"/>
          <w:szCs w:val="32"/>
          <w:lang w:val="en-US" w:eastAsia="zh-CN"/>
        </w:rPr>
        <w:t>6648</w:t>
      </w:r>
      <w:r>
        <w:rPr>
          <w:rFonts w:hint="eastAsia" w:ascii="仿宋_GB2312" w:hAnsi="宋体" w:eastAsia="仿宋_GB2312"/>
          <w:sz w:val="32"/>
          <w:szCs w:val="32"/>
        </w:rPr>
        <w:t>万元，编制特定目标类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w:t>
      </w:r>
      <w:r>
        <w:rPr>
          <w:rFonts w:hint="eastAsia" w:ascii="仿宋_GB2312" w:hAnsi="宋体" w:eastAsia="仿宋_GB2312"/>
          <w:sz w:val="32"/>
          <w:szCs w:val="32"/>
        </w:rPr>
        <w:t>绩效目标的项目覆盖率（实际编制绩效目标的数量/应编制绩效目标的数量）为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ascii="仿宋" w:hAnsi="仿宋" w:eastAsia="仿宋" w:cs="宋体"/>
          <w:color w:val="000000"/>
          <w:kern w:val="0"/>
          <w:sz w:val="32"/>
          <w:szCs w:val="32"/>
        </w:rPr>
        <w:br w:type="page"/>
      </w:r>
    </w:p>
    <w:p>
      <w:pPr>
        <w:spacing w:line="560" w:lineRule="exact"/>
        <w:jc w:val="center"/>
        <w:rPr>
          <w:rFonts w:hint="eastAsia" w:ascii="宋体" w:hAnsi="宋体"/>
          <w:b/>
          <w:sz w:val="36"/>
          <w:szCs w:val="36"/>
        </w:rPr>
      </w:pPr>
      <w:r>
        <w:rPr>
          <w:rFonts w:hint="eastAsia" w:ascii="宋体" w:hAnsi="宋体"/>
          <w:b/>
          <w:sz w:val="36"/>
          <w:szCs w:val="36"/>
        </w:rPr>
        <w:t>第四部分</w:t>
      </w:r>
      <w:r>
        <w:rPr>
          <w:rFonts w:hint="eastAsia" w:ascii="宋体" w:hAnsi="宋体"/>
          <w:b/>
          <w:sz w:val="36"/>
          <w:szCs w:val="36"/>
          <w:lang w:val="en-US" w:eastAsia="zh-CN"/>
        </w:rPr>
        <w:t xml:space="preserve"> </w:t>
      </w:r>
      <w:r>
        <w:rPr>
          <w:rFonts w:hint="eastAsia" w:ascii="宋体" w:hAnsi="宋体"/>
          <w:b/>
          <w:sz w:val="36"/>
          <w:szCs w:val="36"/>
        </w:rPr>
        <w:t>名词解释</w:t>
      </w:r>
    </w:p>
    <w:p>
      <w:pPr>
        <w:spacing w:line="560" w:lineRule="exact"/>
        <w:jc w:val="center"/>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2.基本支出</w:t>
      </w:r>
      <w:r>
        <w:rPr>
          <w:rFonts w:hint="eastAsia" w:ascii="仿宋_GB2312" w:eastAsia="仿宋_GB2312"/>
          <w:sz w:val="32"/>
          <w:szCs w:val="32"/>
          <w:lang w:eastAsia="zh-CN"/>
        </w:rPr>
        <w:t>：是为保障机构正常运转、完成日常工作任务而发生的支出，包括人员经费和公用经费。</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b/>
          <w:bCs/>
          <w:sz w:val="32"/>
          <w:szCs w:val="32"/>
          <w:lang w:eastAsia="zh-CN"/>
        </w:rPr>
        <w:t>3.项目支出</w:t>
      </w:r>
      <w:r>
        <w:rPr>
          <w:rFonts w:hint="eastAsia" w:ascii="仿宋_GB2312" w:eastAsia="仿宋_GB2312"/>
          <w:sz w:val="32"/>
          <w:szCs w:val="32"/>
          <w:lang w:eastAsia="zh-CN"/>
        </w:rPr>
        <w:t>：</w:t>
      </w:r>
      <w:r>
        <w:rPr>
          <w:rFonts w:hint="eastAsia" w:ascii="仿宋_GB2312" w:eastAsia="仿宋_GB2312"/>
          <w:sz w:val="32"/>
          <w:szCs w:val="32"/>
        </w:rPr>
        <w:t>指为完成特定工作任务和事业发展目标所发生的支出。</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.上年结转</w:t>
      </w:r>
      <w:r>
        <w:rPr>
          <w:rFonts w:hint="eastAsia" w:ascii="仿宋_GB2312" w:eastAsia="仿宋_GB2312"/>
          <w:sz w:val="32"/>
          <w:szCs w:val="32"/>
          <w:lang w:eastAsia="zh-CN"/>
        </w:rPr>
        <w:t>：指以前年度尚未使用完毕，结转到本年仍按原规定用途继续使用的资金。</w:t>
      </w:r>
    </w:p>
    <w:p>
      <w:pPr>
        <w:spacing w:line="560" w:lineRule="exact"/>
        <w:ind w:firstLine="640" w:firstLineChars="200"/>
        <w:jc w:val="left"/>
        <w:rPr>
          <w:rFonts w:hint="eastAsia" w:ascii="仿宋_GB2312" w:eastAsia="仿宋_GB2312"/>
          <w:b/>
          <w:bCs/>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highlight w:val="yellow"/>
          <w:lang w:val="en-US" w:eastAsia="zh-CN"/>
        </w:rPr>
      </w:pPr>
      <w:r>
        <w:rPr>
          <w:rFonts w:hint="eastAsia" w:ascii="仿宋_GB2312" w:eastAsia="仿宋_GB2312"/>
          <w:b/>
          <w:bCs/>
          <w:sz w:val="32"/>
          <w:szCs w:val="32"/>
          <w:highlight w:val="none"/>
          <w:lang w:val="en-US" w:eastAsia="zh-CN"/>
        </w:rPr>
        <w:t>6.科学技术支出（类）科学技术普及（款）科技馆站（项）</w:t>
      </w:r>
      <w:r>
        <w:rPr>
          <w:rFonts w:hint="eastAsia" w:ascii="仿宋_GB2312" w:eastAsia="仿宋_GB2312"/>
          <w:sz w:val="32"/>
          <w:szCs w:val="32"/>
          <w:highlight w:val="none"/>
          <w:lang w:val="en-US" w:eastAsia="zh-CN"/>
        </w:rPr>
        <w:t>：反映各级政府科技馆、站的支出。</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.社会保障和就业支出（类）行政事业单位养老支出（款）事业单位离退休（项）</w:t>
      </w:r>
      <w:r>
        <w:rPr>
          <w:rFonts w:hint="eastAsia" w:ascii="仿宋_GB2312" w:eastAsia="仿宋_GB2312"/>
          <w:sz w:val="32"/>
          <w:szCs w:val="32"/>
          <w:lang w:eastAsia="zh-CN"/>
        </w:rPr>
        <w:t>：反映事业单位开支的离退休经费。</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.社会保障和就业支出（类）行政事业单位养老支出（款）机关事业单位基本养老保险费支出（项）</w:t>
      </w:r>
      <w:r>
        <w:rPr>
          <w:rFonts w:hint="eastAsia" w:ascii="仿宋_GB2312" w:eastAsia="仿宋_GB2312"/>
          <w:sz w:val="32"/>
          <w:szCs w:val="32"/>
          <w:lang w:eastAsia="zh-CN"/>
        </w:rPr>
        <w:t>：反映机关事业单位实施养老保险制度由单位缴纳的基本养老保险费支出。</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b/>
          <w:bCs/>
          <w:sz w:val="32"/>
          <w:szCs w:val="32"/>
          <w:lang w:val="en-US" w:eastAsia="zh-CN"/>
        </w:rPr>
        <w:t>9</w:t>
      </w:r>
      <w:r>
        <w:rPr>
          <w:rFonts w:hint="eastAsia" w:ascii="仿宋_GB2312" w:eastAsia="仿宋_GB2312"/>
          <w:b/>
          <w:bCs/>
          <w:sz w:val="32"/>
          <w:szCs w:val="32"/>
          <w:lang w:eastAsia="zh-CN"/>
        </w:rPr>
        <w:t>.社会保障和就业支出（类）行政事业单位养老支出（款）机关事业单位职业年金缴费支出（项）</w:t>
      </w:r>
      <w:r>
        <w:rPr>
          <w:rFonts w:hint="eastAsia" w:ascii="仿宋_GB2312" w:eastAsia="仿宋_GB2312"/>
          <w:sz w:val="32"/>
          <w:szCs w:val="32"/>
          <w:lang w:eastAsia="zh-CN"/>
        </w:rPr>
        <w:t>：反映机关事业单位实施养老保险制度由单位实际缴纳的职业年金支出。</w:t>
      </w:r>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10.</w:t>
      </w:r>
      <w:r>
        <w:rPr>
          <w:rFonts w:hint="eastAsia" w:ascii="仿宋_GB2312" w:eastAsia="仿宋_GB2312"/>
          <w:b/>
          <w:sz w:val="32"/>
          <w:szCs w:val="32"/>
        </w:rPr>
        <w:t>社会保障和就业</w:t>
      </w:r>
      <w:r>
        <w:rPr>
          <w:rFonts w:hint="eastAsia" w:ascii="仿宋_GB2312" w:eastAsia="仿宋_GB2312"/>
          <w:b/>
          <w:sz w:val="32"/>
          <w:szCs w:val="32"/>
          <w:lang w:eastAsia="zh-CN"/>
        </w:rPr>
        <w:t>支出</w:t>
      </w:r>
      <w:r>
        <w:rPr>
          <w:rFonts w:hint="eastAsia" w:ascii="仿宋_GB2312" w:eastAsia="仿宋_GB2312"/>
          <w:b/>
          <w:sz w:val="32"/>
          <w:szCs w:val="32"/>
        </w:rPr>
        <w:t>（类）</w:t>
      </w:r>
      <w:r>
        <w:rPr>
          <w:rFonts w:hint="eastAsia" w:ascii="仿宋_GB2312" w:eastAsia="仿宋_GB2312"/>
          <w:b/>
          <w:sz w:val="32"/>
          <w:szCs w:val="32"/>
          <w:lang w:eastAsia="zh-CN"/>
        </w:rPr>
        <w:t>抚恤（款）死亡抚恤（项）：</w:t>
      </w:r>
      <w:r>
        <w:rPr>
          <w:rFonts w:hint="eastAsia" w:ascii="仿宋_GB2312" w:eastAsia="仿宋_GB2312"/>
          <w:sz w:val="32"/>
          <w:szCs w:val="32"/>
          <w:lang w:eastAsia="zh-CN"/>
        </w:rPr>
        <w:t>反映按规定用于烈士和牺牲、病故人员家属的一次性和定期抚恤金、丧葬补助费以及烈士褒扬金。</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b/>
          <w:bCs/>
          <w:sz w:val="32"/>
          <w:szCs w:val="32"/>
          <w:lang w:eastAsia="zh-CN"/>
        </w:rPr>
        <w:t>1</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.卫生健康支出（类）行政事业单位医疗（款）事业单位医疗（项）</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spacing w:line="560" w:lineRule="exact"/>
        <w:ind w:firstLine="640" w:firstLineChars="200"/>
        <w:jc w:val="left"/>
        <w:rPr>
          <w:rFonts w:hint="default" w:ascii="仿宋_GB2312" w:eastAsia="仿宋_GB2312"/>
          <w:sz w:val="32"/>
          <w:szCs w:val="32"/>
          <w:lang w:val="en-US" w:eastAsia="zh-CN"/>
        </w:rPr>
        <w:sectPr>
          <w:footerReference r:id="rId3" w:type="default"/>
          <w:pgSz w:w="11906" w:h="16838"/>
          <w:pgMar w:top="1440" w:right="1800" w:bottom="1738" w:left="1800" w:header="851" w:footer="992" w:gutter="0"/>
          <w:cols w:space="425" w:num="1"/>
          <w:titlePg/>
          <w:docGrid w:type="linesAndChars" w:linePitch="312" w:charSpace="0"/>
        </w:sectPr>
      </w:pPr>
      <w:r>
        <w:rPr>
          <w:rFonts w:hint="eastAsia" w:ascii="仿宋_GB2312" w:eastAsia="仿宋_GB2312"/>
          <w:b/>
          <w:bCs/>
          <w:sz w:val="32"/>
          <w:szCs w:val="32"/>
          <w:lang w:eastAsia="zh-CN"/>
        </w:rPr>
        <w:t>1</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.住房保障支出（类）住房改革支出（款）住房公积金（项）</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w:t>
      </w:r>
      <w:r>
        <w:rPr>
          <w:rFonts w:hint="eastAsia" w:ascii="仿宋_GB2312" w:eastAsia="仿宋_GB2312"/>
          <w:sz w:val="32"/>
          <w:szCs w:val="32"/>
          <w:lang w:val="en-US" w:eastAsia="zh-CN"/>
        </w:rPr>
        <w:t>金</w:t>
      </w:r>
    </w:p>
    <w:p>
      <w:pPr>
        <w:spacing w:line="560" w:lineRule="exact"/>
        <w:jc w:val="both"/>
        <w:rPr>
          <w:rFonts w:hint="default" w:ascii="仿宋_GB2312" w:eastAsia="仿宋_GB2312"/>
          <w:b/>
          <w:sz w:val="44"/>
          <w:szCs w:val="44"/>
          <w:lang w:val="en-US" w:eastAsia="zh-CN"/>
        </w:rPr>
      </w:pPr>
    </w:p>
    <w:p>
      <w:pPr>
        <w:spacing w:line="560" w:lineRule="exact"/>
        <w:jc w:val="both"/>
        <w:rPr>
          <w:rFonts w:hint="default" w:ascii="仿宋_GB2312" w:eastAsia="仿宋_GB2312"/>
          <w:b/>
          <w:sz w:val="44"/>
          <w:szCs w:val="44"/>
          <w:lang w:val="en-US" w:eastAsia="zh-CN"/>
        </w:rPr>
      </w:pPr>
    </w:p>
    <w:p>
      <w:pPr>
        <w:spacing w:line="560" w:lineRule="exact"/>
        <w:jc w:val="both"/>
        <w:rPr>
          <w:rFonts w:hint="default" w:ascii="仿宋_GB2312" w:eastAsia="仿宋_GB2312"/>
          <w:b/>
          <w:sz w:val="44"/>
          <w:szCs w:val="44"/>
          <w:lang w:val="en-US" w:eastAsia="zh-CN"/>
        </w:rPr>
      </w:pPr>
    </w:p>
    <w:p>
      <w:pPr>
        <w:tabs>
          <w:tab w:val="left" w:pos="2343"/>
        </w:tabs>
        <w:spacing w:line="560" w:lineRule="exact"/>
        <w:jc w:val="center"/>
        <w:rPr>
          <w:rFonts w:hint="eastAsia" w:ascii="宋体" w:hAnsi="宋体"/>
          <w:b/>
          <w:sz w:val="36"/>
          <w:szCs w:val="36"/>
        </w:rPr>
      </w:pPr>
    </w:p>
    <w:p>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年辽宁省</w:t>
      </w:r>
      <w:r>
        <w:rPr>
          <w:rFonts w:hint="eastAsia" w:ascii="宋体" w:hAnsi="宋体"/>
          <w:b/>
          <w:sz w:val="36"/>
          <w:szCs w:val="36"/>
          <w:lang w:val="en-US" w:eastAsia="zh-CN"/>
        </w:rPr>
        <w:t>科学技术馆单位</w:t>
      </w:r>
      <w:r>
        <w:rPr>
          <w:rFonts w:hint="eastAsia" w:ascii="宋体" w:hAnsi="宋体"/>
          <w:b/>
          <w:sz w:val="36"/>
          <w:szCs w:val="36"/>
        </w:rPr>
        <w:t>预算批复表</w:t>
      </w:r>
    </w:p>
    <w:p>
      <w:pPr>
        <w:spacing w:line="560" w:lineRule="exact"/>
        <w:jc w:val="both"/>
        <w:rPr>
          <w:rFonts w:hint="default" w:ascii="仿宋_GB2312" w:eastAsia="仿宋_GB2312"/>
          <w:b/>
          <w:sz w:val="44"/>
          <w:szCs w:val="44"/>
          <w:lang w:val="en-US" w:eastAsia="zh-CN"/>
        </w:rPr>
      </w:pPr>
    </w:p>
    <w:sectPr>
      <w:pgSz w:w="16838" w:h="11906" w:orient="landscape"/>
      <w:pgMar w:top="1803" w:right="1440" w:bottom="1803" w:left="1440" w:header="851" w:footer="992" w:gutter="0"/>
      <w:cols w:space="0" w:num="1"/>
      <w:titlePg/>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799FF"/>
    <w:multiLevelType w:val="singleLevel"/>
    <w:tmpl w:val="DE7799FF"/>
    <w:lvl w:ilvl="0" w:tentative="0">
      <w:start w:val="1"/>
      <w:numFmt w:val="decimal"/>
      <w:suff w:val="space"/>
      <w:lvlText w:val="%1."/>
      <w:lvlJc w:val="left"/>
    </w:lvl>
  </w:abstractNum>
  <w:abstractNum w:abstractNumId="1">
    <w:nsid w:val="1BC72FFA"/>
    <w:multiLevelType w:val="singleLevel"/>
    <w:tmpl w:val="1BC72FFA"/>
    <w:lvl w:ilvl="0" w:tentative="0">
      <w:start w:val="3"/>
      <w:numFmt w:val="chineseCounting"/>
      <w:suff w:val="space"/>
      <w:lvlText w:val="第%1部分"/>
      <w:lvlJc w:val="left"/>
      <w:rPr>
        <w:rFonts w:hint="eastAsia"/>
      </w:rPr>
    </w:lvl>
  </w:abstractNum>
  <w:abstractNum w:abstractNumId="2">
    <w:nsid w:val="292ACA5E"/>
    <w:multiLevelType w:val="singleLevel"/>
    <w:tmpl w:val="292ACA5E"/>
    <w:lvl w:ilvl="0" w:tentative="0">
      <w:start w:val="1"/>
      <w:numFmt w:val="chineseCounting"/>
      <w:suff w:val="nothing"/>
      <w:lvlText w:val="%1、"/>
      <w:lvlJc w:val="left"/>
      <w:pPr>
        <w:ind w:left="42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ZTZmOTNiMWY3NjA2ZjY3NGE3YTI0NzM0ZDkzZTYifQ=="/>
    <w:docVar w:name="KSO_WPS_MARK_KEY" w:val="61b3c9fc-5aa1-4dd1-81d9-a8893b14dbe7"/>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40C3"/>
    <w:rsid w:val="00065C08"/>
    <w:rsid w:val="00073E3F"/>
    <w:rsid w:val="000906C5"/>
    <w:rsid w:val="000A00E4"/>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3003"/>
    <w:rsid w:val="001A415E"/>
    <w:rsid w:val="001A4640"/>
    <w:rsid w:val="001B77A9"/>
    <w:rsid w:val="001C1FBF"/>
    <w:rsid w:val="001C4D67"/>
    <w:rsid w:val="001D0424"/>
    <w:rsid w:val="001E0F28"/>
    <w:rsid w:val="001E32B1"/>
    <w:rsid w:val="001E3B59"/>
    <w:rsid w:val="001E3BB8"/>
    <w:rsid w:val="001F4B21"/>
    <w:rsid w:val="001F4DC4"/>
    <w:rsid w:val="001F5515"/>
    <w:rsid w:val="001F5912"/>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753"/>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B1E47"/>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28F7"/>
    <w:rsid w:val="0044636A"/>
    <w:rsid w:val="00450F86"/>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719"/>
    <w:rsid w:val="004E78BE"/>
    <w:rsid w:val="004F0520"/>
    <w:rsid w:val="004F4D7E"/>
    <w:rsid w:val="004F5303"/>
    <w:rsid w:val="004F6933"/>
    <w:rsid w:val="00510447"/>
    <w:rsid w:val="005127EF"/>
    <w:rsid w:val="00515B98"/>
    <w:rsid w:val="005222F9"/>
    <w:rsid w:val="00532926"/>
    <w:rsid w:val="005460BF"/>
    <w:rsid w:val="0054694B"/>
    <w:rsid w:val="00550F83"/>
    <w:rsid w:val="0055106B"/>
    <w:rsid w:val="00552654"/>
    <w:rsid w:val="005555E7"/>
    <w:rsid w:val="00555F4E"/>
    <w:rsid w:val="0057459C"/>
    <w:rsid w:val="00577A55"/>
    <w:rsid w:val="005808B9"/>
    <w:rsid w:val="00581111"/>
    <w:rsid w:val="00583D3E"/>
    <w:rsid w:val="00584A71"/>
    <w:rsid w:val="00585962"/>
    <w:rsid w:val="005860C3"/>
    <w:rsid w:val="0059267C"/>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5023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0769"/>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6A7A"/>
    <w:rsid w:val="008032EF"/>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3CF3"/>
    <w:rsid w:val="008B567B"/>
    <w:rsid w:val="008D67C1"/>
    <w:rsid w:val="008D6BAE"/>
    <w:rsid w:val="008E14F7"/>
    <w:rsid w:val="008F085F"/>
    <w:rsid w:val="008F4786"/>
    <w:rsid w:val="009122B2"/>
    <w:rsid w:val="00912532"/>
    <w:rsid w:val="0091437F"/>
    <w:rsid w:val="00917BF2"/>
    <w:rsid w:val="00926C07"/>
    <w:rsid w:val="00927879"/>
    <w:rsid w:val="00932D2C"/>
    <w:rsid w:val="00933554"/>
    <w:rsid w:val="00941A4D"/>
    <w:rsid w:val="0095395F"/>
    <w:rsid w:val="00954AA1"/>
    <w:rsid w:val="00970433"/>
    <w:rsid w:val="00992766"/>
    <w:rsid w:val="0099456C"/>
    <w:rsid w:val="009A2955"/>
    <w:rsid w:val="009A4153"/>
    <w:rsid w:val="009B50A6"/>
    <w:rsid w:val="009C0E1F"/>
    <w:rsid w:val="009C78B8"/>
    <w:rsid w:val="009D4D50"/>
    <w:rsid w:val="009D50F2"/>
    <w:rsid w:val="009E3607"/>
    <w:rsid w:val="009E4011"/>
    <w:rsid w:val="009E6934"/>
    <w:rsid w:val="009F0437"/>
    <w:rsid w:val="009F4519"/>
    <w:rsid w:val="009F63E1"/>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B1605"/>
    <w:rsid w:val="00AC34D0"/>
    <w:rsid w:val="00AC480B"/>
    <w:rsid w:val="00AD0C7B"/>
    <w:rsid w:val="00AD2E2D"/>
    <w:rsid w:val="00AE6279"/>
    <w:rsid w:val="00AE7A0D"/>
    <w:rsid w:val="00AF30C4"/>
    <w:rsid w:val="00B03ED6"/>
    <w:rsid w:val="00B0465C"/>
    <w:rsid w:val="00B1023F"/>
    <w:rsid w:val="00B17365"/>
    <w:rsid w:val="00B3097E"/>
    <w:rsid w:val="00B3322E"/>
    <w:rsid w:val="00B34341"/>
    <w:rsid w:val="00B438BE"/>
    <w:rsid w:val="00B43C68"/>
    <w:rsid w:val="00B45B68"/>
    <w:rsid w:val="00B530B3"/>
    <w:rsid w:val="00B54F33"/>
    <w:rsid w:val="00B64505"/>
    <w:rsid w:val="00B64E59"/>
    <w:rsid w:val="00B718FD"/>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2BB2"/>
    <w:rsid w:val="00C656DC"/>
    <w:rsid w:val="00C71D5C"/>
    <w:rsid w:val="00C90BD8"/>
    <w:rsid w:val="00C9239A"/>
    <w:rsid w:val="00C938AA"/>
    <w:rsid w:val="00CA3545"/>
    <w:rsid w:val="00CA36DD"/>
    <w:rsid w:val="00CB433D"/>
    <w:rsid w:val="00CC2F87"/>
    <w:rsid w:val="00CD34D3"/>
    <w:rsid w:val="00CE11E3"/>
    <w:rsid w:val="00CE1377"/>
    <w:rsid w:val="00CE245C"/>
    <w:rsid w:val="00CE2746"/>
    <w:rsid w:val="00CE63ED"/>
    <w:rsid w:val="00CF4A89"/>
    <w:rsid w:val="00D00805"/>
    <w:rsid w:val="00D12C10"/>
    <w:rsid w:val="00D13CB9"/>
    <w:rsid w:val="00D22F31"/>
    <w:rsid w:val="00D238BC"/>
    <w:rsid w:val="00D269C4"/>
    <w:rsid w:val="00D316A1"/>
    <w:rsid w:val="00D32B4A"/>
    <w:rsid w:val="00D3350D"/>
    <w:rsid w:val="00D33629"/>
    <w:rsid w:val="00D33984"/>
    <w:rsid w:val="00D33CB1"/>
    <w:rsid w:val="00D3769E"/>
    <w:rsid w:val="00D40A56"/>
    <w:rsid w:val="00D412A1"/>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8404D"/>
    <w:rsid w:val="00EC15B9"/>
    <w:rsid w:val="00EC5421"/>
    <w:rsid w:val="00EC55F1"/>
    <w:rsid w:val="00ED2999"/>
    <w:rsid w:val="00ED33DC"/>
    <w:rsid w:val="00ED4939"/>
    <w:rsid w:val="00EE19E6"/>
    <w:rsid w:val="00EE4854"/>
    <w:rsid w:val="00F01DD7"/>
    <w:rsid w:val="00F22489"/>
    <w:rsid w:val="00F234F5"/>
    <w:rsid w:val="00F305AA"/>
    <w:rsid w:val="00F55B4E"/>
    <w:rsid w:val="00F6732E"/>
    <w:rsid w:val="00F77CD4"/>
    <w:rsid w:val="00F81ABA"/>
    <w:rsid w:val="00F85E64"/>
    <w:rsid w:val="00F90DDE"/>
    <w:rsid w:val="00F9475A"/>
    <w:rsid w:val="00F953F8"/>
    <w:rsid w:val="00F969C4"/>
    <w:rsid w:val="00FA7402"/>
    <w:rsid w:val="00FA79EA"/>
    <w:rsid w:val="00FA7C82"/>
    <w:rsid w:val="00FB14EE"/>
    <w:rsid w:val="00FB1D54"/>
    <w:rsid w:val="00FB4B59"/>
    <w:rsid w:val="00FB6E35"/>
    <w:rsid w:val="00FC2939"/>
    <w:rsid w:val="00FD3CCD"/>
    <w:rsid w:val="00FE3108"/>
    <w:rsid w:val="00FE3361"/>
    <w:rsid w:val="00FE6175"/>
    <w:rsid w:val="00FE7DD8"/>
    <w:rsid w:val="00FF08FA"/>
    <w:rsid w:val="00FF712A"/>
    <w:rsid w:val="019A6AEB"/>
    <w:rsid w:val="01E27504"/>
    <w:rsid w:val="02BC09F5"/>
    <w:rsid w:val="02E70D80"/>
    <w:rsid w:val="03D41F08"/>
    <w:rsid w:val="04C92FF4"/>
    <w:rsid w:val="050E7C8D"/>
    <w:rsid w:val="058B71F1"/>
    <w:rsid w:val="05CC0260"/>
    <w:rsid w:val="067C78F6"/>
    <w:rsid w:val="069B1278"/>
    <w:rsid w:val="06B84EC6"/>
    <w:rsid w:val="06F26EF4"/>
    <w:rsid w:val="07000E37"/>
    <w:rsid w:val="078D0595"/>
    <w:rsid w:val="07C07694"/>
    <w:rsid w:val="08095D0D"/>
    <w:rsid w:val="098118F8"/>
    <w:rsid w:val="09B35DC1"/>
    <w:rsid w:val="0BB208C5"/>
    <w:rsid w:val="0C423125"/>
    <w:rsid w:val="0D2427C1"/>
    <w:rsid w:val="0DA10894"/>
    <w:rsid w:val="0E6D4386"/>
    <w:rsid w:val="0E9E73D9"/>
    <w:rsid w:val="0F2A085F"/>
    <w:rsid w:val="0F547981"/>
    <w:rsid w:val="11963E91"/>
    <w:rsid w:val="129A73DF"/>
    <w:rsid w:val="12A75987"/>
    <w:rsid w:val="13391E56"/>
    <w:rsid w:val="13813258"/>
    <w:rsid w:val="16611646"/>
    <w:rsid w:val="17B616E5"/>
    <w:rsid w:val="17F07D94"/>
    <w:rsid w:val="188076DF"/>
    <w:rsid w:val="189B1ADC"/>
    <w:rsid w:val="18C33AC7"/>
    <w:rsid w:val="18EC27B3"/>
    <w:rsid w:val="19455480"/>
    <w:rsid w:val="1A0F73A5"/>
    <w:rsid w:val="1BDE2B69"/>
    <w:rsid w:val="1CB23675"/>
    <w:rsid w:val="1DF602FB"/>
    <w:rsid w:val="1E0F132C"/>
    <w:rsid w:val="1F377D78"/>
    <w:rsid w:val="1FCF0779"/>
    <w:rsid w:val="200D6146"/>
    <w:rsid w:val="212550F3"/>
    <w:rsid w:val="22065BD8"/>
    <w:rsid w:val="220E5D16"/>
    <w:rsid w:val="23C977F5"/>
    <w:rsid w:val="25D5672B"/>
    <w:rsid w:val="27773A27"/>
    <w:rsid w:val="2817488B"/>
    <w:rsid w:val="29E6061F"/>
    <w:rsid w:val="29E67293"/>
    <w:rsid w:val="2BBC0DEE"/>
    <w:rsid w:val="2C093AB9"/>
    <w:rsid w:val="2C2B721E"/>
    <w:rsid w:val="2C977D7E"/>
    <w:rsid w:val="2D55207B"/>
    <w:rsid w:val="2D88542E"/>
    <w:rsid w:val="2D8C310A"/>
    <w:rsid w:val="2E515676"/>
    <w:rsid w:val="2EB3162C"/>
    <w:rsid w:val="2EE465A5"/>
    <w:rsid w:val="30A23495"/>
    <w:rsid w:val="316C7727"/>
    <w:rsid w:val="31EE3102"/>
    <w:rsid w:val="321B4A97"/>
    <w:rsid w:val="32784FF3"/>
    <w:rsid w:val="32F26D6D"/>
    <w:rsid w:val="3505415D"/>
    <w:rsid w:val="35406914"/>
    <w:rsid w:val="368651AA"/>
    <w:rsid w:val="370276FA"/>
    <w:rsid w:val="387B3161"/>
    <w:rsid w:val="396661E0"/>
    <w:rsid w:val="3AE4639A"/>
    <w:rsid w:val="3B276CC7"/>
    <w:rsid w:val="3BE6528E"/>
    <w:rsid w:val="3C3A45A7"/>
    <w:rsid w:val="3C462551"/>
    <w:rsid w:val="3C794FFF"/>
    <w:rsid w:val="3CD31755"/>
    <w:rsid w:val="3D07238E"/>
    <w:rsid w:val="3D4C00FC"/>
    <w:rsid w:val="416F6D4A"/>
    <w:rsid w:val="42296E75"/>
    <w:rsid w:val="431D12A8"/>
    <w:rsid w:val="43243DE7"/>
    <w:rsid w:val="434E168C"/>
    <w:rsid w:val="43B60FA4"/>
    <w:rsid w:val="43F97ACA"/>
    <w:rsid w:val="44B70DF0"/>
    <w:rsid w:val="44BC2B59"/>
    <w:rsid w:val="44E7211A"/>
    <w:rsid w:val="460E453B"/>
    <w:rsid w:val="46BB7BFA"/>
    <w:rsid w:val="46E13712"/>
    <w:rsid w:val="46FC62C0"/>
    <w:rsid w:val="47E81BB1"/>
    <w:rsid w:val="48411192"/>
    <w:rsid w:val="48C77A88"/>
    <w:rsid w:val="4A623313"/>
    <w:rsid w:val="4C281EF3"/>
    <w:rsid w:val="4CDD4B47"/>
    <w:rsid w:val="4D831EDC"/>
    <w:rsid w:val="4E137BA5"/>
    <w:rsid w:val="50176044"/>
    <w:rsid w:val="50850FC7"/>
    <w:rsid w:val="50CB2008"/>
    <w:rsid w:val="52D724CE"/>
    <w:rsid w:val="52FF1B99"/>
    <w:rsid w:val="536979A6"/>
    <w:rsid w:val="53AD33B3"/>
    <w:rsid w:val="53B37737"/>
    <w:rsid w:val="53FD7012"/>
    <w:rsid w:val="576818B0"/>
    <w:rsid w:val="59BA488B"/>
    <w:rsid w:val="5A474332"/>
    <w:rsid w:val="5A99432F"/>
    <w:rsid w:val="5C32682B"/>
    <w:rsid w:val="5D7734CC"/>
    <w:rsid w:val="5D7C6005"/>
    <w:rsid w:val="5DD22168"/>
    <w:rsid w:val="5E650A81"/>
    <w:rsid w:val="5F4245F2"/>
    <w:rsid w:val="61101D01"/>
    <w:rsid w:val="61A11798"/>
    <w:rsid w:val="62C217B6"/>
    <w:rsid w:val="63984141"/>
    <w:rsid w:val="661F54A0"/>
    <w:rsid w:val="684E7733"/>
    <w:rsid w:val="691E364C"/>
    <w:rsid w:val="6A6715B2"/>
    <w:rsid w:val="6A726147"/>
    <w:rsid w:val="6C222841"/>
    <w:rsid w:val="6C63090D"/>
    <w:rsid w:val="6D95125A"/>
    <w:rsid w:val="6F151DF0"/>
    <w:rsid w:val="6FF0143D"/>
    <w:rsid w:val="714B2ECB"/>
    <w:rsid w:val="721A55CA"/>
    <w:rsid w:val="73351169"/>
    <w:rsid w:val="73DA43F2"/>
    <w:rsid w:val="7431173B"/>
    <w:rsid w:val="74DF0F48"/>
    <w:rsid w:val="78754BD7"/>
    <w:rsid w:val="787E393B"/>
    <w:rsid w:val="791940EA"/>
    <w:rsid w:val="792114C4"/>
    <w:rsid w:val="79BF61C2"/>
    <w:rsid w:val="7A3B02D0"/>
    <w:rsid w:val="7AD4567E"/>
    <w:rsid w:val="7B1F03FE"/>
    <w:rsid w:val="7E9772E5"/>
    <w:rsid w:val="7F072835"/>
    <w:rsid w:val="7FB31639"/>
    <w:rsid w:val="7FB66AC7"/>
    <w:rsid w:val="7FD166DE"/>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MSG_EN_FONT_STYLE_NAME_TEMPLATE_ROLE_NUMBER MSG_EN_FONT_STYLE_NAME_BY_ROLE_TEXT 2_"/>
    <w:link w:val="12"/>
    <w:qFormat/>
    <w:uiPriority w:val="0"/>
    <w:rPr>
      <w:rFonts w:ascii="PMingLiU" w:hAnsi="PMingLiU" w:eastAsia="PMingLiU" w:cs="PMingLiU"/>
      <w:sz w:val="34"/>
      <w:szCs w:val="34"/>
      <w:shd w:val="clear" w:color="auto" w:fill="FFFFFF"/>
    </w:rPr>
  </w:style>
  <w:style w:type="paragraph" w:customStyle="1" w:styleId="12">
    <w:name w:val="MSG_EN_FONT_STYLE_NAME_TEMPLATE_ROLE_NUMBER MSG_EN_FONT_STYLE_NAME_BY_ROLE_TEXT 2"/>
    <w:basedOn w:val="1"/>
    <w:link w:val="11"/>
    <w:qFormat/>
    <w:uiPriority w:val="0"/>
    <w:pPr>
      <w:shd w:val="clear" w:color="auto" w:fill="FFFFFF"/>
      <w:spacing w:before="1060" w:after="1500" w:line="340" w:lineRule="exact"/>
      <w:jc w:val="center"/>
    </w:pPr>
    <w:rPr>
      <w:rFonts w:ascii="PMingLiU" w:hAnsi="PMingLiU" w:eastAsia="PMingLiU" w:cs="PMingLiU"/>
      <w:kern w:val="0"/>
      <w:sz w:val="34"/>
      <w:szCs w:val="34"/>
    </w:rPr>
  </w:style>
  <w:style w:type="character" w:customStyle="1" w:styleId="13">
    <w:name w:val="MSG_EN_FONT_STYLE_NAME_TEMPLATE_ROLE_NUMBER MSG_EN_FONT_STYLE_NAME_BY_ROLE_TEXT 4_"/>
    <w:link w:val="14"/>
    <w:qFormat/>
    <w:uiPriority w:val="0"/>
    <w:rPr>
      <w:rFonts w:ascii="PMingLiU" w:hAnsi="PMingLiU" w:eastAsia="PMingLiU" w:cs="PMingLiU"/>
      <w:sz w:val="34"/>
      <w:szCs w:val="34"/>
      <w:shd w:val="clear" w:color="auto" w:fill="FFFFFF"/>
    </w:rPr>
  </w:style>
  <w:style w:type="paragraph" w:customStyle="1" w:styleId="14">
    <w:name w:val="MSG_EN_FONT_STYLE_NAME_TEMPLATE_ROLE_NUMBER MSG_EN_FONT_STYLE_NAME_BY_ROLE_TEXT 4"/>
    <w:basedOn w:val="1"/>
    <w:link w:val="13"/>
    <w:qFormat/>
    <w:uiPriority w:val="0"/>
    <w:pPr>
      <w:shd w:val="clear" w:color="auto" w:fill="FFFFFF"/>
      <w:spacing w:line="590" w:lineRule="exact"/>
      <w:ind w:firstLine="740"/>
      <w:jc w:val="distribute"/>
    </w:pPr>
    <w:rPr>
      <w:rFonts w:ascii="PMingLiU" w:hAnsi="PMingLiU" w:eastAsia="PMingLiU" w:cs="PMingLiU"/>
      <w:kern w:val="0"/>
      <w:sz w:val="34"/>
      <w:szCs w:val="34"/>
    </w:rPr>
  </w:style>
  <w:style w:type="character" w:customStyle="1" w:styleId="15">
    <w:name w:val="MSG_EN_FONT_STYLE_NAME_TEMPLATE_ROLE_NUMBER MSG_EN_FONT_STYLE_NAME_BY_ROLE_TEXT 2 + MSG_EN_FONT_STYLE_MODIFER_SIZE 16"/>
    <w:qFormat/>
    <w:uiPriority w:val="0"/>
    <w:rPr>
      <w:rFonts w:ascii="PMingLiU" w:hAnsi="PMingLiU" w:eastAsia="PMingLiU" w:cs="PMingLiU"/>
      <w:b/>
      <w:bCs/>
      <w:color w:val="000000"/>
      <w:spacing w:val="0"/>
      <w:w w:val="100"/>
      <w:position w:val="0"/>
      <w:sz w:val="32"/>
      <w:szCs w:val="32"/>
      <w:shd w:val="clear" w:color="auto" w:fill="FFFFFF"/>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38A0C-5405-4BC6-B707-BC35A9A65768}">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3707</Words>
  <Characters>3883</Characters>
  <Lines>38</Lines>
  <Paragraphs>10</Paragraphs>
  <TotalTime>0</TotalTime>
  <ScaleCrop>false</ScaleCrop>
  <LinksUpToDate>false</LinksUpToDate>
  <CharactersWithSpaces>3924</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2021-02-25T00:27:00Z</dcterms:created>
  <dc:creator>预算处(税政处、编审中心)-王威</dc:creator>
  <cp:lastModifiedBy>lenovo</cp:lastModifiedBy>
  <cp:lastPrinted>2022-02-23T00:53:00Z</cp:lastPrinted>
  <dcterms:modified xsi:type="dcterms:W3CDTF">2025-02-26T07:36:12Z</dcterms:modified>
  <dc:title>辽宁省财政厅部门预算</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DD2B36632C724D58882367BD403FEA19_13</vt:lpwstr>
  </property>
</Properties>
</file>