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0" w:line="60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2025年度辽宁省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科普信息员队伍建设</w:t>
      </w:r>
    </w:p>
    <w:p>
      <w:pPr>
        <w:widowControl w:val="0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 w:bidi="ar-SA"/>
        </w:rPr>
        <w:t>优秀组织单位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市级科协优秀组织单位（5家）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朝阳市科协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抚顺市科协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辽阳市科协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丹东市科协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沈阳市科协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县（市、区）级科协优秀组织单位（20家）</w:t>
      </w:r>
    </w:p>
    <w:p>
      <w:pPr>
        <w:keepNext w:val="0"/>
        <w:keepLines w:val="0"/>
        <w:pageBreakBefore w:val="0"/>
        <w:widowControl w:val="0"/>
        <w:tabs>
          <w:tab w:val="left" w:pos="4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朝阳市双塔区科协            </w:t>
      </w:r>
    </w:p>
    <w:p>
      <w:pPr>
        <w:keepNext w:val="0"/>
        <w:keepLines w:val="0"/>
        <w:pageBreakBefore w:val="0"/>
        <w:widowControl w:val="0"/>
        <w:tabs>
          <w:tab w:val="left" w:pos="4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朝阳市朝阳县科协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朝阳市凌源市科协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朝阳市喀喇沁左翼蒙古族自治县科协</w:t>
      </w:r>
    </w:p>
    <w:p>
      <w:pPr>
        <w:keepNext w:val="0"/>
        <w:keepLines w:val="0"/>
        <w:pageBreakBefore w:val="0"/>
        <w:widowControl w:val="0"/>
        <w:tabs>
          <w:tab w:val="left" w:pos="4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抚顺市清原满族自治县科协    </w:t>
      </w:r>
    </w:p>
    <w:p>
      <w:pPr>
        <w:keepNext w:val="0"/>
        <w:keepLines w:val="0"/>
        <w:pageBreakBefore w:val="0"/>
        <w:widowControl w:val="0"/>
        <w:tabs>
          <w:tab w:val="left" w:pos="4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葫芦岛市建昌县科协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丹东市东港市科协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沈阳市浑南区科协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大连市甘井子区科协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辽阳市宏伟区科协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大连市金州区科协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朝阳市北票市科协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盘锦市大洼区科协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辽阳市白塔区科协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沈阳市大东区科协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锦州市黑山县科协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辽阳市辽阳县科协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丹东市凤城市科协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大连市西岗区科协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朝阳市建平县科协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7385"/>
    <w:rsid w:val="B7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2025-09-12T15:18:00Z</dcterms:created>
  <dc:creator>uos</dc:creator>
  <cp:lastModifiedBy>uos</cp:lastModifiedBy>
  <dcterms:modified xsi:type="dcterms:W3CDTF">2025-09-12T15:19:42Z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